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B8" w:rsidRPr="003A7DB8" w:rsidRDefault="003A7DB8" w:rsidP="003A7DB8">
      <w:pPr>
        <w:pStyle w:val="BodyText"/>
        <w:ind w:left="0"/>
        <w:rPr>
          <w:rFonts w:ascii="Times New Roman"/>
          <w:b/>
          <w:sz w:val="20"/>
        </w:rPr>
      </w:pPr>
      <w:bookmarkStart w:id="0" w:name="Directors’_Disclosure_of_Interests_Polic"/>
      <w:bookmarkEnd w:id="0"/>
      <w:r w:rsidRPr="003A7DB8">
        <w:rPr>
          <w:b/>
          <w:sz w:val="56"/>
          <w:szCs w:val="56"/>
        </w:rPr>
        <w:t xml:space="preserve">Disclosure and Management of Interests Policy </w:t>
      </w:r>
    </w:p>
    <w:p w:rsidR="003A7DB8" w:rsidRPr="003A7DB8" w:rsidRDefault="003A7DB8" w:rsidP="003A7DB8">
      <w:pPr>
        <w:pStyle w:val="Heading1"/>
      </w:pPr>
      <w:bookmarkStart w:id="1" w:name="Introduction"/>
      <w:bookmarkEnd w:id="1"/>
      <w:r w:rsidRPr="003A7DB8">
        <w:t>Introduction</w:t>
      </w:r>
    </w:p>
    <w:p w:rsidR="003A7DB8" w:rsidRPr="00497003" w:rsidRDefault="003A7DB8" w:rsidP="003A7DB8">
      <w:pPr>
        <w:pStyle w:val="BodyText"/>
        <w:spacing w:after="200" w:line="276" w:lineRule="auto"/>
        <w:ind w:left="115" w:right="158"/>
        <w:rPr>
          <w:sz w:val="24"/>
          <w:szCs w:val="24"/>
        </w:rPr>
      </w:pPr>
      <w:r w:rsidRPr="00497003">
        <w:rPr>
          <w:sz w:val="24"/>
          <w:szCs w:val="24"/>
        </w:rPr>
        <w:t>Disclosure of interests and management of conflicts of interest are key legal and governance responsibilities which are essential to protecting the financial position and reputation of Vision Australia Limited ABN 67 108 391 831, its subsidiaries and associated entities (</w:t>
      </w:r>
      <w:r w:rsidRPr="00497003">
        <w:rPr>
          <w:b/>
          <w:sz w:val="24"/>
          <w:szCs w:val="24"/>
        </w:rPr>
        <w:t>Vision Australia</w:t>
      </w:r>
      <w:r w:rsidRPr="00497003">
        <w:rPr>
          <w:sz w:val="24"/>
          <w:szCs w:val="24"/>
        </w:rPr>
        <w:t>).</w:t>
      </w:r>
    </w:p>
    <w:p w:rsidR="003A7DB8" w:rsidRPr="00497003" w:rsidRDefault="003A7DB8" w:rsidP="003A7DB8">
      <w:pPr>
        <w:pStyle w:val="BodyText"/>
        <w:spacing w:after="200" w:line="276" w:lineRule="auto"/>
        <w:ind w:right="441"/>
        <w:rPr>
          <w:sz w:val="24"/>
          <w:szCs w:val="24"/>
        </w:rPr>
      </w:pPr>
      <w:r w:rsidRPr="00497003">
        <w:rPr>
          <w:sz w:val="24"/>
          <w:szCs w:val="24"/>
        </w:rPr>
        <w:t xml:space="preserve">The law requires that Directors act in the best interests of the organisation which they serve. Employees and volunteers also have legal obligations to act in the interests of Vision Australia under their employment and/or engagement contracts and the organisation’s code of conduct. </w:t>
      </w:r>
    </w:p>
    <w:p w:rsidR="003A7DB8" w:rsidRPr="00497003" w:rsidRDefault="003A7DB8" w:rsidP="003A7DB8">
      <w:pPr>
        <w:pStyle w:val="BodyText"/>
        <w:spacing w:after="200" w:line="276" w:lineRule="auto"/>
        <w:ind w:right="922"/>
        <w:rPr>
          <w:sz w:val="24"/>
          <w:szCs w:val="24"/>
        </w:rPr>
      </w:pPr>
      <w:r w:rsidRPr="00497003">
        <w:rPr>
          <w:sz w:val="24"/>
          <w:szCs w:val="24"/>
        </w:rPr>
        <w:t xml:space="preserve">The best way to mitigate a conflict of interest is to avoid them.  While it is not always possible to eliminate conflicts of interest it is important that they are managed so that the motives behind decisions are not questioned and the organisation can assert the integrity of its actions.  </w:t>
      </w:r>
    </w:p>
    <w:p w:rsidR="003A7DB8" w:rsidRPr="00497003" w:rsidRDefault="003A7DB8" w:rsidP="003A7DB8">
      <w:pPr>
        <w:pStyle w:val="BodyText"/>
        <w:spacing w:after="200" w:line="276" w:lineRule="auto"/>
        <w:ind w:right="922"/>
        <w:rPr>
          <w:sz w:val="24"/>
          <w:szCs w:val="24"/>
        </w:rPr>
      </w:pPr>
      <w:r w:rsidRPr="00497003">
        <w:rPr>
          <w:sz w:val="24"/>
          <w:szCs w:val="24"/>
        </w:rPr>
        <w:t>Vision Australia requires its workforce to ensure that they comply with their obligations to disclose any interests (including those interests of immediate family members) that they have in a matter that relates to the affairs of Vision Australia. A register is maintained which records any relevant interest that may give rise to a conflict, or the perception of a conflict, now or in the future.</w:t>
      </w:r>
    </w:p>
    <w:p w:rsidR="003A7DB8" w:rsidRPr="00497003" w:rsidRDefault="003A7DB8" w:rsidP="003A7DB8">
      <w:pPr>
        <w:pStyle w:val="BodyText"/>
        <w:spacing w:after="200" w:line="276" w:lineRule="auto"/>
        <w:ind w:right="441"/>
        <w:rPr>
          <w:sz w:val="24"/>
          <w:szCs w:val="24"/>
        </w:rPr>
      </w:pPr>
      <w:r w:rsidRPr="00497003">
        <w:rPr>
          <w:sz w:val="24"/>
          <w:szCs w:val="24"/>
        </w:rPr>
        <w:t xml:space="preserve">Vision Australia ensures transparency in its decisions and influences by the extension of this policy to all of its workforce. </w:t>
      </w:r>
      <w:bookmarkStart w:id="2" w:name="About_this_policy"/>
      <w:bookmarkEnd w:id="2"/>
      <w:r w:rsidRPr="00497003">
        <w:rPr>
          <w:sz w:val="24"/>
          <w:szCs w:val="24"/>
        </w:rPr>
        <w:t xml:space="preserve"> </w:t>
      </w:r>
    </w:p>
    <w:p w:rsidR="003A7DB8" w:rsidRPr="00402D2C" w:rsidRDefault="003A7DB8" w:rsidP="003A7DB8">
      <w:pPr>
        <w:pStyle w:val="Heading1"/>
      </w:pPr>
      <w:r w:rsidRPr="00402D2C">
        <w:t>About this policy</w:t>
      </w:r>
    </w:p>
    <w:p w:rsidR="003A7DB8" w:rsidRPr="00497003" w:rsidRDefault="003A7DB8" w:rsidP="003A7DB8">
      <w:pPr>
        <w:pStyle w:val="BodyText"/>
        <w:spacing w:after="200" w:line="288" w:lineRule="auto"/>
        <w:ind w:left="115"/>
        <w:rPr>
          <w:sz w:val="24"/>
          <w:szCs w:val="24"/>
        </w:rPr>
      </w:pPr>
      <w:r w:rsidRPr="00497003">
        <w:rPr>
          <w:sz w:val="24"/>
          <w:szCs w:val="24"/>
        </w:rPr>
        <w:t>This Policy sets out the procedures for each individual to:</w:t>
      </w:r>
    </w:p>
    <w:p w:rsidR="003A7DB8" w:rsidRPr="00497003" w:rsidRDefault="003A7DB8" w:rsidP="003A7DB8">
      <w:pPr>
        <w:pStyle w:val="ListParagraph"/>
        <w:widowControl w:val="0"/>
        <w:numPr>
          <w:ilvl w:val="0"/>
          <w:numId w:val="23"/>
        </w:numPr>
        <w:tabs>
          <w:tab w:val="left" w:pos="465"/>
          <w:tab w:val="left" w:pos="466"/>
        </w:tabs>
        <w:autoSpaceDE w:val="0"/>
        <w:autoSpaceDN w:val="0"/>
        <w:spacing w:after="0" w:line="240" w:lineRule="auto"/>
        <w:ind w:left="475"/>
        <w:contextualSpacing w:val="0"/>
        <w:rPr>
          <w:sz w:val="24"/>
        </w:rPr>
      </w:pPr>
      <w:r w:rsidRPr="00497003">
        <w:rPr>
          <w:sz w:val="24"/>
        </w:rPr>
        <w:t xml:space="preserve">Disclose interests; and </w:t>
      </w:r>
    </w:p>
    <w:p w:rsidR="003A7DB8" w:rsidRPr="00497003" w:rsidRDefault="003A7DB8" w:rsidP="003A7DB8">
      <w:pPr>
        <w:pStyle w:val="ListParagraph"/>
        <w:widowControl w:val="0"/>
        <w:numPr>
          <w:ilvl w:val="0"/>
          <w:numId w:val="23"/>
        </w:numPr>
        <w:tabs>
          <w:tab w:val="left" w:pos="465"/>
          <w:tab w:val="left" w:pos="466"/>
        </w:tabs>
        <w:autoSpaceDE w:val="0"/>
        <w:autoSpaceDN w:val="0"/>
        <w:spacing w:after="0" w:line="240" w:lineRule="auto"/>
        <w:ind w:left="475"/>
        <w:contextualSpacing w:val="0"/>
        <w:rPr>
          <w:sz w:val="24"/>
        </w:rPr>
      </w:pPr>
      <w:r w:rsidRPr="00497003">
        <w:rPr>
          <w:sz w:val="24"/>
        </w:rPr>
        <w:t>Act should an actual, potential or perceived conflict of interest arise.</w:t>
      </w:r>
    </w:p>
    <w:p w:rsidR="003A7DB8" w:rsidRPr="006E0BB9" w:rsidRDefault="003A7DB8" w:rsidP="003A7DB8">
      <w:pPr>
        <w:pStyle w:val="Heading1"/>
      </w:pPr>
      <w:bookmarkStart w:id="3" w:name="Status_of_Policy"/>
      <w:bookmarkStart w:id="4" w:name="Definition"/>
      <w:bookmarkEnd w:id="3"/>
      <w:bookmarkEnd w:id="4"/>
      <w:r w:rsidRPr="006E0BB9">
        <w:t>Definition</w:t>
      </w:r>
    </w:p>
    <w:p w:rsidR="003A7DB8" w:rsidRPr="00497003" w:rsidRDefault="003A7DB8" w:rsidP="003A7DB8">
      <w:pPr>
        <w:pStyle w:val="BodyText"/>
        <w:spacing w:before="282" w:line="266" w:lineRule="auto"/>
        <w:ind w:right="102"/>
        <w:rPr>
          <w:sz w:val="24"/>
          <w:szCs w:val="24"/>
        </w:rPr>
      </w:pPr>
      <w:r w:rsidRPr="00497003">
        <w:rPr>
          <w:sz w:val="24"/>
          <w:szCs w:val="24"/>
        </w:rPr>
        <w:t>A conflict of interest arises where an individual has an interest which conflicts (or might conflict, or might be perceived to conflict) with the interests of Vision Australia.</w:t>
      </w:r>
    </w:p>
    <w:p w:rsidR="003A7DB8" w:rsidRPr="00497003" w:rsidRDefault="003A7DB8" w:rsidP="003A7DB8">
      <w:pPr>
        <w:pStyle w:val="BodyText"/>
        <w:spacing w:before="248" w:line="266" w:lineRule="auto"/>
        <w:ind w:left="720" w:right="919"/>
        <w:rPr>
          <w:sz w:val="24"/>
          <w:szCs w:val="24"/>
        </w:rPr>
      </w:pPr>
      <w:r w:rsidRPr="00497003">
        <w:rPr>
          <w:sz w:val="24"/>
          <w:szCs w:val="24"/>
        </w:rPr>
        <w:t xml:space="preserve">The key question to ask when considering whether an interest might conflict is: Does the matter create an incentive (or could it reasonably be perceived to create an incentive) for the individual to act in a way that may not be in the best interests of Vision Australia, its members, clients or other stakeholders? </w:t>
      </w:r>
    </w:p>
    <w:p w:rsidR="003A7DB8" w:rsidRPr="00497003" w:rsidRDefault="003A7DB8" w:rsidP="003A7DB8">
      <w:pPr>
        <w:pStyle w:val="BodyText"/>
        <w:spacing w:before="248" w:line="266" w:lineRule="auto"/>
        <w:ind w:right="919"/>
        <w:rPr>
          <w:sz w:val="24"/>
          <w:szCs w:val="24"/>
        </w:rPr>
      </w:pPr>
      <w:r w:rsidRPr="00497003">
        <w:rPr>
          <w:sz w:val="24"/>
          <w:szCs w:val="24"/>
        </w:rPr>
        <w:t xml:space="preserve">Where a matter does create such an incentive or a perception of such an incentive, this is considered to be a “material conflict” for the purposes of this Policy. </w:t>
      </w:r>
    </w:p>
    <w:p w:rsidR="003A7DB8" w:rsidRPr="00497003" w:rsidRDefault="003A7DB8" w:rsidP="003A7DB8">
      <w:pPr>
        <w:pStyle w:val="BodyText"/>
        <w:spacing w:after="200" w:line="269" w:lineRule="auto"/>
        <w:ind w:left="115" w:right="922"/>
        <w:rPr>
          <w:sz w:val="24"/>
          <w:szCs w:val="24"/>
        </w:rPr>
      </w:pPr>
      <w:r w:rsidRPr="00497003">
        <w:rPr>
          <w:sz w:val="24"/>
          <w:szCs w:val="24"/>
        </w:rPr>
        <w:t>A conflict may take a number of forms. It may be financial or non- financial. It may be direct or indirect. It may be professional or personal. For example, a conflict of interest may arise from:</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Other directorships or other</w:t>
      </w:r>
      <w:r w:rsidRPr="00E41AC0">
        <w:rPr>
          <w:sz w:val="24"/>
        </w:rPr>
        <w:t xml:space="preserve"> </w:t>
      </w:r>
      <w:r w:rsidRPr="00497003">
        <w:rPr>
          <w:sz w:val="24"/>
        </w:rPr>
        <w:t>employment;</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Interests in business enterprises or professional practices</w:t>
      </w:r>
      <w:r w:rsidRPr="00E41AC0">
        <w:rPr>
          <w:sz w:val="24"/>
        </w:rPr>
        <w:t xml:space="preserve"> </w:t>
      </w:r>
      <w:r w:rsidRPr="00497003">
        <w:rPr>
          <w:sz w:val="24"/>
        </w:rPr>
        <w:t>providing services to Vision</w:t>
      </w:r>
      <w:r w:rsidRPr="00E41AC0">
        <w:rPr>
          <w:sz w:val="24"/>
        </w:rPr>
        <w:t xml:space="preserve"> </w:t>
      </w:r>
      <w:r w:rsidRPr="00497003">
        <w:rPr>
          <w:sz w:val="24"/>
        </w:rPr>
        <w:t>Australia;</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Share ownership in major suppliers of Vision</w:t>
      </w:r>
      <w:r w:rsidRPr="00E41AC0">
        <w:rPr>
          <w:sz w:val="24"/>
        </w:rPr>
        <w:t xml:space="preserve"> </w:t>
      </w:r>
      <w:r w:rsidRPr="00497003">
        <w:rPr>
          <w:sz w:val="24"/>
        </w:rPr>
        <w:t>Australia;</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Beneficial interests in</w:t>
      </w:r>
      <w:r w:rsidRPr="00E41AC0">
        <w:rPr>
          <w:sz w:val="24"/>
        </w:rPr>
        <w:t xml:space="preserve"> </w:t>
      </w:r>
      <w:r w:rsidRPr="00497003">
        <w:rPr>
          <w:sz w:val="24"/>
        </w:rPr>
        <w:t>trusts;</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Existing professional or personal associations with Vision</w:t>
      </w:r>
      <w:r w:rsidRPr="00E41AC0">
        <w:rPr>
          <w:sz w:val="24"/>
        </w:rPr>
        <w:t xml:space="preserve"> </w:t>
      </w:r>
      <w:r w:rsidRPr="00497003">
        <w:rPr>
          <w:sz w:val="24"/>
        </w:rPr>
        <w:t>Australia;</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Professional or personal associations with other individuals, groups or organisations;</w:t>
      </w:r>
      <w:r w:rsidRPr="00E41AC0">
        <w:rPr>
          <w:sz w:val="24"/>
        </w:rPr>
        <w:t xml:space="preserve"> </w:t>
      </w:r>
      <w:r w:rsidRPr="00497003">
        <w:rPr>
          <w:sz w:val="24"/>
        </w:rPr>
        <w:t>or</w:t>
      </w:r>
    </w:p>
    <w:p w:rsidR="003A7DB8" w:rsidRPr="00E41AC0"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Family and other personal</w:t>
      </w:r>
      <w:r w:rsidRPr="00E41AC0">
        <w:rPr>
          <w:sz w:val="24"/>
        </w:rPr>
        <w:t xml:space="preserve"> </w:t>
      </w:r>
      <w:r w:rsidRPr="00497003">
        <w:rPr>
          <w:sz w:val="24"/>
        </w:rPr>
        <w:t>relationships.</w:t>
      </w:r>
      <w:bookmarkStart w:id="5" w:name="Disclosure_of_Interests"/>
      <w:bookmarkEnd w:id="5"/>
    </w:p>
    <w:p w:rsidR="003A7DB8" w:rsidRDefault="003A7DB8" w:rsidP="003A7DB8">
      <w:pPr>
        <w:tabs>
          <w:tab w:val="left" w:pos="470"/>
          <w:tab w:val="left" w:pos="471"/>
        </w:tabs>
        <w:ind w:right="1987"/>
        <w:rPr>
          <w:sz w:val="24"/>
          <w:szCs w:val="24"/>
        </w:rPr>
      </w:pPr>
      <w:r w:rsidRPr="00497003">
        <w:rPr>
          <w:sz w:val="24"/>
          <w:szCs w:val="24"/>
        </w:rPr>
        <w:t>Specific examples of conflicts of interest that must be disclosed, recorded and managed may include</w:t>
      </w:r>
      <w:r>
        <w:rPr>
          <w:sz w:val="24"/>
          <w:szCs w:val="24"/>
        </w:rPr>
        <w:t xml:space="preserve"> when an individual</w:t>
      </w:r>
      <w:r w:rsidRPr="00497003">
        <w:rPr>
          <w:sz w:val="24"/>
          <w:szCs w:val="24"/>
        </w:rPr>
        <w:t>:</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sidRPr="00497003">
        <w:rPr>
          <w:sz w:val="24"/>
        </w:rPr>
        <w:t>ha</w:t>
      </w:r>
      <w:r>
        <w:rPr>
          <w:sz w:val="24"/>
        </w:rPr>
        <w:t>s</w:t>
      </w:r>
      <w:r w:rsidRPr="00497003">
        <w:rPr>
          <w:sz w:val="24"/>
        </w:rPr>
        <w:t xml:space="preserve"> </w:t>
      </w:r>
      <w:r>
        <w:rPr>
          <w:sz w:val="24"/>
        </w:rPr>
        <w:t xml:space="preserve">or is planning to </w:t>
      </w:r>
      <w:r w:rsidRPr="00497003">
        <w:rPr>
          <w:sz w:val="24"/>
        </w:rPr>
        <w:t xml:space="preserve">provide a private service such as occupational therapy or IT Support outside </w:t>
      </w:r>
      <w:r>
        <w:rPr>
          <w:sz w:val="24"/>
        </w:rPr>
        <w:t xml:space="preserve">of </w:t>
      </w:r>
      <w:r w:rsidRPr="00497003">
        <w:rPr>
          <w:sz w:val="24"/>
        </w:rPr>
        <w:t xml:space="preserve">Vision Australia, </w:t>
      </w:r>
      <w:r>
        <w:rPr>
          <w:sz w:val="24"/>
        </w:rPr>
        <w:t>or</w:t>
      </w:r>
    </w:p>
    <w:p w:rsidR="003A7DB8" w:rsidRPr="00497003" w:rsidRDefault="003A7DB8" w:rsidP="003A7DB8">
      <w:pPr>
        <w:pStyle w:val="ListParagraph"/>
        <w:widowControl w:val="0"/>
        <w:numPr>
          <w:ilvl w:val="0"/>
          <w:numId w:val="25"/>
        </w:numPr>
        <w:tabs>
          <w:tab w:val="left" w:pos="470"/>
          <w:tab w:val="left" w:pos="471"/>
        </w:tabs>
        <w:autoSpaceDE w:val="0"/>
        <w:autoSpaceDN w:val="0"/>
        <w:ind w:left="446" w:right="1987"/>
        <w:contextualSpacing w:val="0"/>
        <w:rPr>
          <w:sz w:val="24"/>
        </w:rPr>
      </w:pPr>
      <w:r>
        <w:rPr>
          <w:sz w:val="24"/>
        </w:rPr>
        <w:t>has a</w:t>
      </w:r>
      <w:r w:rsidRPr="00497003">
        <w:rPr>
          <w:sz w:val="24"/>
        </w:rPr>
        <w:t xml:space="preserve"> family member or </w:t>
      </w:r>
      <w:r>
        <w:rPr>
          <w:sz w:val="24"/>
        </w:rPr>
        <w:t xml:space="preserve">personal or professional connection who </w:t>
      </w:r>
      <w:r w:rsidRPr="00497003">
        <w:rPr>
          <w:sz w:val="24"/>
        </w:rPr>
        <w:t>has made a complaint to Vision Australia whether the complaint be about you or not.</w:t>
      </w:r>
    </w:p>
    <w:p w:rsidR="003A7DB8" w:rsidRPr="003B5898" w:rsidRDefault="003A7DB8" w:rsidP="003A7DB8">
      <w:pPr>
        <w:pStyle w:val="Heading1"/>
      </w:pPr>
      <w:r>
        <w:t>Workforce</w:t>
      </w:r>
    </w:p>
    <w:p w:rsidR="003A7DB8" w:rsidRPr="00497003" w:rsidRDefault="003A7DB8" w:rsidP="003A7DB8">
      <w:pPr>
        <w:pStyle w:val="Heading2"/>
        <w:keepNext w:val="0"/>
        <w:keepLines w:val="0"/>
        <w:widowControl w:val="0"/>
        <w:numPr>
          <w:ilvl w:val="1"/>
          <w:numId w:val="24"/>
        </w:numPr>
        <w:autoSpaceDE w:val="0"/>
        <w:autoSpaceDN w:val="0"/>
        <w:spacing w:after="120"/>
        <w:ind w:left="1195" w:hanging="655"/>
        <w:rPr>
          <w:sz w:val="36"/>
          <w:szCs w:val="36"/>
        </w:rPr>
      </w:pPr>
      <w:r w:rsidRPr="00497003">
        <w:rPr>
          <w:sz w:val="36"/>
          <w:szCs w:val="36"/>
        </w:rPr>
        <w:t>Requirements and expectations for the workforce</w:t>
      </w:r>
    </w:p>
    <w:p w:rsidR="003A7DB8" w:rsidRDefault="003A7DB8" w:rsidP="003A7DB8">
      <w:pPr>
        <w:pStyle w:val="BodyText"/>
        <w:spacing w:before="229" w:line="266" w:lineRule="auto"/>
        <w:ind w:left="540" w:right="385"/>
        <w:rPr>
          <w:sz w:val="24"/>
          <w:szCs w:val="24"/>
        </w:rPr>
      </w:pPr>
      <w:r w:rsidRPr="00497003">
        <w:rPr>
          <w:sz w:val="24"/>
          <w:szCs w:val="24"/>
        </w:rPr>
        <w:t>This Policy forms part of the core policies that are required to be reviewed as part of induction. Workforce members are required to disclose any interests held in a Notice of Interest (available on the Hub) when asked.  In the event that an interest is disclosed and it is deemed that the interest may impact on the individual’s role, any control measures will be determined and recorded in consultation with the individual’s manager and General Manager</w:t>
      </w:r>
      <w:r>
        <w:rPr>
          <w:sz w:val="24"/>
          <w:szCs w:val="24"/>
        </w:rPr>
        <w:t xml:space="preserve">.  </w:t>
      </w:r>
    </w:p>
    <w:p w:rsidR="003A7DB8" w:rsidRPr="00497003" w:rsidRDefault="003A7DB8" w:rsidP="003A7DB8">
      <w:pPr>
        <w:pStyle w:val="BodyText"/>
        <w:spacing w:before="229" w:line="266" w:lineRule="auto"/>
        <w:ind w:left="540" w:right="385"/>
        <w:rPr>
          <w:sz w:val="24"/>
          <w:szCs w:val="24"/>
        </w:rPr>
      </w:pPr>
      <w:r>
        <w:rPr>
          <w:sz w:val="24"/>
          <w:szCs w:val="24"/>
        </w:rPr>
        <w:t>Senior Managers</w:t>
      </w:r>
      <w:r w:rsidRPr="00497003">
        <w:rPr>
          <w:sz w:val="24"/>
          <w:szCs w:val="24"/>
        </w:rPr>
        <w:t xml:space="preserve"> are responsible for important decisions within the organisation and accordingly should lead by example in the disclosures and conduct.  Senior Managers are required to disclose any change of interests as soon as possible and in any case within 14 days.</w:t>
      </w:r>
    </w:p>
    <w:p w:rsidR="003A7DB8" w:rsidRPr="00497003" w:rsidRDefault="003A7DB8" w:rsidP="003A7DB8">
      <w:pPr>
        <w:pStyle w:val="BodyText"/>
        <w:spacing w:before="229" w:line="266" w:lineRule="auto"/>
        <w:ind w:left="540" w:right="385"/>
        <w:rPr>
          <w:sz w:val="24"/>
          <w:szCs w:val="24"/>
        </w:rPr>
      </w:pPr>
      <w:r w:rsidRPr="00497003">
        <w:rPr>
          <w:sz w:val="24"/>
          <w:szCs w:val="24"/>
        </w:rPr>
        <w:t>Volunteers will have attention drawn to this policy when engaged in relevant roles.  Volunteers will be required to complete the</w:t>
      </w:r>
      <w:r>
        <w:rPr>
          <w:sz w:val="24"/>
          <w:szCs w:val="24"/>
        </w:rPr>
        <w:t xml:space="preserve"> workforce </w:t>
      </w:r>
      <w:r w:rsidRPr="00497003">
        <w:rPr>
          <w:sz w:val="24"/>
          <w:szCs w:val="24"/>
        </w:rPr>
        <w:t xml:space="preserve">disclosure process if and when directed by their coordinator. </w:t>
      </w:r>
    </w:p>
    <w:p w:rsidR="003A7DB8" w:rsidRDefault="003A7DB8" w:rsidP="003A7DB8">
      <w:pPr>
        <w:pStyle w:val="BodyText"/>
        <w:spacing w:after="200" w:line="266" w:lineRule="auto"/>
        <w:ind w:left="547" w:right="389"/>
        <w:rPr>
          <w:sz w:val="24"/>
          <w:szCs w:val="24"/>
        </w:rPr>
      </w:pPr>
      <w:r w:rsidRPr="00497003">
        <w:rPr>
          <w:sz w:val="24"/>
          <w:szCs w:val="24"/>
        </w:rPr>
        <w:t xml:space="preserve">Workforce members should update their disclosures as and when necessary should a relevant change to their circumstances occur.  Both additional matters and the removal of conflicts can be logged via Vision Australia’s internal electronic form.  </w:t>
      </w:r>
    </w:p>
    <w:p w:rsidR="003A7DB8" w:rsidRPr="00497003" w:rsidRDefault="003A7DB8" w:rsidP="003A7DB8">
      <w:pPr>
        <w:pStyle w:val="BodyText"/>
        <w:spacing w:after="200" w:line="266" w:lineRule="auto"/>
        <w:ind w:left="547" w:right="389"/>
        <w:rPr>
          <w:sz w:val="24"/>
          <w:szCs w:val="24"/>
        </w:rPr>
      </w:pPr>
      <w:r w:rsidRPr="00497003">
        <w:rPr>
          <w:sz w:val="24"/>
          <w:szCs w:val="24"/>
        </w:rPr>
        <w:t xml:space="preserve">Any disclosure made will progress to the individual’s immediate manager for acknowledgement and a determination if any further measures are required.  Once agreed with the immediate manager, the General Manager /manager once removed will be notified of the outcome, as will P&amp;C where relevant. </w:t>
      </w:r>
    </w:p>
    <w:p w:rsidR="003A7DB8" w:rsidRPr="00DC27A9" w:rsidRDefault="003A7DB8" w:rsidP="003A7DB8">
      <w:pPr>
        <w:pStyle w:val="Heading2"/>
        <w:keepNext w:val="0"/>
        <w:keepLines w:val="0"/>
        <w:widowControl w:val="0"/>
        <w:numPr>
          <w:ilvl w:val="1"/>
          <w:numId w:val="24"/>
        </w:numPr>
        <w:autoSpaceDE w:val="0"/>
        <w:autoSpaceDN w:val="0"/>
        <w:spacing w:after="120"/>
        <w:ind w:left="1195" w:hanging="655"/>
        <w:rPr>
          <w:sz w:val="24"/>
          <w:szCs w:val="24"/>
        </w:rPr>
      </w:pPr>
      <w:r w:rsidRPr="00DC27A9">
        <w:rPr>
          <w:sz w:val="36"/>
          <w:szCs w:val="36"/>
        </w:rPr>
        <w:t>Preventing and managing interest</w:t>
      </w:r>
      <w:r>
        <w:rPr>
          <w:sz w:val="36"/>
          <w:szCs w:val="36"/>
        </w:rPr>
        <w:t>s</w:t>
      </w:r>
    </w:p>
    <w:p w:rsidR="003A7DB8" w:rsidRPr="001B2519" w:rsidRDefault="003A7DB8" w:rsidP="003A7DB8">
      <w:pPr>
        <w:pStyle w:val="Heading2"/>
        <w:spacing w:after="120"/>
        <w:ind w:left="540"/>
        <w:rPr>
          <w:b w:val="0"/>
          <w:sz w:val="24"/>
          <w:szCs w:val="24"/>
        </w:rPr>
      </w:pPr>
      <w:r w:rsidRPr="001B2519">
        <w:rPr>
          <w:b w:val="0"/>
          <w:sz w:val="24"/>
          <w:szCs w:val="24"/>
        </w:rPr>
        <w:t>Prevention and management of interest can assist confidence in the organisation and ensures integrity in decision making.  Relevant practices may include:</w:t>
      </w:r>
    </w:p>
    <w:p w:rsidR="003A7DB8" w:rsidRPr="00E41AC0" w:rsidRDefault="003A7DB8" w:rsidP="003A7DB8">
      <w:pPr>
        <w:pStyle w:val="BodyText"/>
        <w:numPr>
          <w:ilvl w:val="0"/>
          <w:numId w:val="26"/>
        </w:numPr>
        <w:spacing w:after="200" w:line="276" w:lineRule="auto"/>
        <w:ind w:left="990" w:right="389" w:hanging="450"/>
        <w:rPr>
          <w:sz w:val="24"/>
          <w:szCs w:val="24"/>
        </w:rPr>
      </w:pPr>
      <w:r>
        <w:rPr>
          <w:color w:val="000000"/>
          <w:sz w:val="24"/>
          <w:szCs w:val="24"/>
          <w:shd w:val="clear" w:color="auto" w:fill="FFFFFF"/>
        </w:rPr>
        <w:t>Taking steps to c</w:t>
      </w:r>
      <w:r w:rsidRPr="00E41AC0">
        <w:rPr>
          <w:color w:val="000000"/>
          <w:sz w:val="24"/>
          <w:szCs w:val="24"/>
          <w:shd w:val="clear" w:color="auto" w:fill="FFFFFF"/>
        </w:rPr>
        <w:t>reate a safe environment and a non-intimidating process which encourages employees to report and disclose conflicts of interest in an open and honest way.  Conflicts of interest are nothing to dread.</w:t>
      </w:r>
    </w:p>
    <w:p w:rsidR="003A7DB8" w:rsidRPr="00E41AC0"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E41AC0">
        <w:rPr>
          <w:color w:val="000000"/>
          <w:sz w:val="24"/>
          <w:szCs w:val="24"/>
          <w:shd w:val="clear" w:color="auto" w:fill="FFFFFF"/>
        </w:rPr>
        <w:t>Keep</w:t>
      </w:r>
      <w:r>
        <w:rPr>
          <w:color w:val="000000"/>
          <w:sz w:val="24"/>
          <w:szCs w:val="24"/>
          <w:shd w:val="clear" w:color="auto" w:fill="FFFFFF"/>
        </w:rPr>
        <w:t>ing</w:t>
      </w:r>
      <w:r w:rsidRPr="00E41AC0">
        <w:rPr>
          <w:color w:val="000000"/>
          <w:sz w:val="24"/>
          <w:szCs w:val="24"/>
          <w:shd w:val="clear" w:color="auto" w:fill="FFFFFF"/>
        </w:rPr>
        <w:t xml:space="preserve"> and explain</w:t>
      </w:r>
      <w:r>
        <w:rPr>
          <w:color w:val="000000"/>
          <w:sz w:val="24"/>
          <w:szCs w:val="24"/>
          <w:shd w:val="clear" w:color="auto" w:fill="FFFFFF"/>
        </w:rPr>
        <w:t>ing</w:t>
      </w:r>
      <w:r w:rsidRPr="00E41AC0">
        <w:rPr>
          <w:color w:val="000000"/>
          <w:sz w:val="24"/>
          <w:szCs w:val="24"/>
          <w:shd w:val="clear" w:color="auto" w:fill="FFFFFF"/>
        </w:rPr>
        <w:t xml:space="preserve"> the confidentiality of information disclosed.</w:t>
      </w:r>
    </w:p>
    <w:p w:rsidR="003A7DB8" w:rsidRPr="00C73C84"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C73C84">
        <w:rPr>
          <w:color w:val="000000"/>
          <w:sz w:val="24"/>
          <w:szCs w:val="24"/>
          <w:shd w:val="clear" w:color="auto" w:fill="FFFFFF"/>
        </w:rPr>
        <w:t xml:space="preserve">Clarification of facts, evaluation of the relevant situation and identifying the risks posed by the situation. </w:t>
      </w:r>
    </w:p>
    <w:p w:rsidR="003A7DB8" w:rsidRPr="00E41AC0"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E41AC0">
        <w:rPr>
          <w:color w:val="000000"/>
          <w:sz w:val="24"/>
          <w:szCs w:val="24"/>
          <w:shd w:val="clear" w:color="auto" w:fill="FFFFFF"/>
        </w:rPr>
        <w:t>Discuss</w:t>
      </w:r>
      <w:r>
        <w:rPr>
          <w:color w:val="000000"/>
          <w:sz w:val="24"/>
          <w:szCs w:val="24"/>
          <w:shd w:val="clear" w:color="auto" w:fill="FFFFFF"/>
        </w:rPr>
        <w:t>ing</w:t>
      </w:r>
      <w:r w:rsidRPr="00E41AC0">
        <w:rPr>
          <w:color w:val="000000"/>
          <w:sz w:val="24"/>
          <w:szCs w:val="24"/>
          <w:shd w:val="clear" w:color="auto" w:fill="FFFFFF"/>
        </w:rPr>
        <w:t xml:space="preserve"> the appropriate mitigation measures</w:t>
      </w:r>
      <w:r>
        <w:rPr>
          <w:color w:val="000000"/>
          <w:sz w:val="24"/>
          <w:szCs w:val="24"/>
          <w:shd w:val="clear" w:color="auto" w:fill="FFFFFF"/>
        </w:rPr>
        <w:t xml:space="preserve"> with the </w:t>
      </w:r>
      <w:r w:rsidRPr="00E41AC0">
        <w:rPr>
          <w:color w:val="000000"/>
          <w:sz w:val="24"/>
          <w:szCs w:val="24"/>
          <w:shd w:val="clear" w:color="auto" w:fill="FFFFFF"/>
        </w:rPr>
        <w:t xml:space="preserve">individual with the </w:t>
      </w:r>
      <w:r>
        <w:rPr>
          <w:color w:val="000000"/>
          <w:sz w:val="24"/>
          <w:szCs w:val="24"/>
          <w:shd w:val="clear" w:color="auto" w:fill="FFFFFF"/>
        </w:rPr>
        <w:t xml:space="preserve">potential </w:t>
      </w:r>
      <w:r w:rsidRPr="00E41AC0">
        <w:rPr>
          <w:color w:val="000000"/>
          <w:sz w:val="24"/>
          <w:szCs w:val="24"/>
          <w:shd w:val="clear" w:color="auto" w:fill="FFFFFF"/>
        </w:rPr>
        <w:t>conflict.</w:t>
      </w:r>
    </w:p>
    <w:p w:rsidR="003A7DB8" w:rsidRPr="00E41AC0"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E41AC0">
        <w:rPr>
          <w:color w:val="000000"/>
          <w:sz w:val="24"/>
          <w:szCs w:val="24"/>
          <w:shd w:val="clear" w:color="auto" w:fill="FFFFFF"/>
        </w:rPr>
        <w:t>Record</w:t>
      </w:r>
      <w:r>
        <w:rPr>
          <w:color w:val="000000"/>
          <w:sz w:val="24"/>
          <w:szCs w:val="24"/>
          <w:shd w:val="clear" w:color="auto" w:fill="FFFFFF"/>
        </w:rPr>
        <w:t>ing</w:t>
      </w:r>
      <w:r w:rsidRPr="00E41AC0">
        <w:rPr>
          <w:color w:val="000000"/>
          <w:sz w:val="24"/>
          <w:szCs w:val="24"/>
          <w:shd w:val="clear" w:color="auto" w:fill="FFFFFF"/>
        </w:rPr>
        <w:t xml:space="preserve"> the </w:t>
      </w:r>
      <w:r>
        <w:rPr>
          <w:color w:val="000000"/>
          <w:sz w:val="24"/>
          <w:szCs w:val="24"/>
          <w:shd w:val="clear" w:color="auto" w:fill="FFFFFF"/>
        </w:rPr>
        <w:t xml:space="preserve">interest and mitigation measures in the appropriate registers and informing P&amp;C where relevant. </w:t>
      </w:r>
    </w:p>
    <w:p w:rsidR="003A7DB8"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Pr>
          <w:color w:val="000000"/>
          <w:sz w:val="24"/>
          <w:szCs w:val="24"/>
          <w:shd w:val="clear" w:color="auto" w:fill="FFFFFF"/>
        </w:rPr>
        <w:t>Supervision of involvement with a connected party.</w:t>
      </w:r>
    </w:p>
    <w:p w:rsidR="003A7DB8" w:rsidRDefault="003A7DB8" w:rsidP="003A7DB8">
      <w:pPr>
        <w:pStyle w:val="Heading2"/>
        <w:spacing w:after="120"/>
        <w:ind w:left="540"/>
        <w:rPr>
          <w:b w:val="0"/>
          <w:sz w:val="24"/>
          <w:szCs w:val="24"/>
        </w:rPr>
      </w:pPr>
      <w:r w:rsidRPr="001B2519">
        <w:rPr>
          <w:b w:val="0"/>
          <w:sz w:val="24"/>
          <w:szCs w:val="24"/>
        </w:rPr>
        <w:t xml:space="preserve">Interests disclosed will be reviewed as part of the </w:t>
      </w:r>
      <w:r>
        <w:rPr>
          <w:b w:val="0"/>
          <w:sz w:val="24"/>
          <w:szCs w:val="24"/>
        </w:rPr>
        <w:t xml:space="preserve">annual </w:t>
      </w:r>
      <w:r w:rsidRPr="001B2519">
        <w:rPr>
          <w:b w:val="0"/>
          <w:sz w:val="24"/>
          <w:szCs w:val="24"/>
        </w:rPr>
        <w:t xml:space="preserve">performance review process </w:t>
      </w:r>
      <w:r>
        <w:rPr>
          <w:b w:val="0"/>
          <w:sz w:val="24"/>
          <w:szCs w:val="24"/>
        </w:rPr>
        <w:t>for workforce members and otherwise on request to the individual’s manager/coordinator.</w:t>
      </w:r>
    </w:p>
    <w:p w:rsidR="003A7DB8" w:rsidRPr="00C73C84" w:rsidRDefault="003A7DB8" w:rsidP="003A7DB8">
      <w:pPr>
        <w:pStyle w:val="Heading2"/>
        <w:spacing w:after="120"/>
        <w:ind w:left="540"/>
        <w:rPr>
          <w:b w:val="0"/>
          <w:sz w:val="24"/>
          <w:szCs w:val="24"/>
        </w:rPr>
      </w:pPr>
      <w:r w:rsidRPr="00C73C84">
        <w:rPr>
          <w:b w:val="0"/>
          <w:sz w:val="24"/>
          <w:szCs w:val="24"/>
        </w:rPr>
        <w:t>Examples of control measures may include:</w:t>
      </w:r>
    </w:p>
    <w:p w:rsidR="003A7DB8" w:rsidRPr="00C73C84"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C73C84">
        <w:rPr>
          <w:color w:val="000000"/>
          <w:sz w:val="24"/>
          <w:szCs w:val="24"/>
          <w:shd w:val="clear" w:color="auto" w:fill="FFFFFF"/>
        </w:rPr>
        <w:t>Removing the person from the responsibilities or duties to which the conflict relates</w:t>
      </w:r>
    </w:p>
    <w:p w:rsidR="003A7DB8" w:rsidRPr="00C73C84"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C73C84">
        <w:rPr>
          <w:color w:val="000000"/>
          <w:sz w:val="24"/>
          <w:szCs w:val="24"/>
          <w:shd w:val="clear" w:color="auto" w:fill="FFFFFF"/>
        </w:rPr>
        <w:t>Modi</w:t>
      </w:r>
      <w:r>
        <w:rPr>
          <w:color w:val="000000"/>
          <w:sz w:val="24"/>
          <w:szCs w:val="24"/>
          <w:shd w:val="clear" w:color="auto" w:fill="FFFFFF"/>
        </w:rPr>
        <w:t>fying</w:t>
      </w:r>
      <w:r w:rsidRPr="00C73C84">
        <w:rPr>
          <w:color w:val="000000"/>
          <w:sz w:val="24"/>
          <w:szCs w:val="24"/>
          <w:shd w:val="clear" w:color="auto" w:fill="FFFFFF"/>
        </w:rPr>
        <w:t xml:space="preserve"> a role or plan, to remove or mitigate the conflict </w:t>
      </w:r>
    </w:p>
    <w:p w:rsidR="003A7DB8" w:rsidRPr="00C73C84" w:rsidRDefault="003A7DB8" w:rsidP="003A7DB8">
      <w:pPr>
        <w:pStyle w:val="BodyText"/>
        <w:numPr>
          <w:ilvl w:val="0"/>
          <w:numId w:val="26"/>
        </w:numPr>
        <w:spacing w:after="200" w:line="276" w:lineRule="auto"/>
        <w:ind w:left="990" w:right="389" w:hanging="450"/>
        <w:rPr>
          <w:color w:val="000000"/>
          <w:sz w:val="24"/>
          <w:szCs w:val="24"/>
          <w:shd w:val="clear" w:color="auto" w:fill="FFFFFF"/>
        </w:rPr>
      </w:pPr>
      <w:r w:rsidRPr="00C73C84">
        <w:rPr>
          <w:color w:val="000000"/>
          <w:sz w:val="24"/>
          <w:szCs w:val="24"/>
          <w:shd w:val="clear" w:color="auto" w:fill="FFFFFF"/>
        </w:rPr>
        <w:t>Restrict</w:t>
      </w:r>
      <w:r>
        <w:rPr>
          <w:color w:val="000000"/>
          <w:sz w:val="24"/>
          <w:szCs w:val="24"/>
          <w:shd w:val="clear" w:color="auto" w:fill="FFFFFF"/>
        </w:rPr>
        <w:t>ing</w:t>
      </w:r>
      <w:r w:rsidRPr="00C73C84">
        <w:rPr>
          <w:color w:val="000000"/>
          <w:sz w:val="24"/>
          <w:szCs w:val="24"/>
          <w:shd w:val="clear" w:color="auto" w:fill="FFFFFF"/>
        </w:rPr>
        <w:t xml:space="preserve"> access to </w:t>
      </w:r>
      <w:r>
        <w:rPr>
          <w:color w:val="000000"/>
          <w:sz w:val="24"/>
          <w:szCs w:val="24"/>
          <w:shd w:val="clear" w:color="auto" w:fill="FFFFFF"/>
        </w:rPr>
        <w:t xml:space="preserve">specific </w:t>
      </w:r>
      <w:r w:rsidRPr="00C73C84">
        <w:rPr>
          <w:color w:val="000000"/>
          <w:sz w:val="24"/>
          <w:szCs w:val="24"/>
          <w:shd w:val="clear" w:color="auto" w:fill="FFFFFF"/>
        </w:rPr>
        <w:t xml:space="preserve">client or stakeholder, files, documentation or relevant meetings until the conflict of interest has passed. </w:t>
      </w:r>
    </w:p>
    <w:p w:rsidR="003A7DB8" w:rsidRDefault="003A7DB8" w:rsidP="003A7DB8">
      <w:pPr>
        <w:pStyle w:val="Heading1"/>
      </w:pPr>
      <w:r>
        <w:t>Approval for secondary role or engagement</w:t>
      </w:r>
    </w:p>
    <w:p w:rsidR="003A7DB8" w:rsidRPr="003A7DB8" w:rsidRDefault="003A7DB8" w:rsidP="003A7DB8">
      <w:pPr>
        <w:rPr>
          <w:b/>
          <w:sz w:val="24"/>
        </w:rPr>
      </w:pPr>
      <w:r w:rsidRPr="003A7DB8">
        <w:rPr>
          <w:sz w:val="24"/>
        </w:rPr>
        <w:t>Paid workforce members are requested to use the internal form to seek management approval for any new undertaking which they propose to commence after their initial employment contract is entered.</w:t>
      </w:r>
    </w:p>
    <w:p w:rsidR="003A7DB8" w:rsidRPr="003A7DB8" w:rsidRDefault="003A7DB8" w:rsidP="003A7DB8">
      <w:pPr>
        <w:pStyle w:val="Heading1"/>
        <w:rPr>
          <w:sz w:val="24"/>
          <w:szCs w:val="24"/>
        </w:rPr>
      </w:pPr>
      <w:r>
        <w:rPr>
          <w:sz w:val="24"/>
          <w:szCs w:val="24"/>
        </w:rPr>
        <w:br w:type="page"/>
      </w:r>
      <w:r>
        <w:t>Directors and Governance Volunteers</w:t>
      </w:r>
    </w:p>
    <w:p w:rsidR="003A7DB8" w:rsidRPr="00497003" w:rsidRDefault="003A7DB8" w:rsidP="003A7DB8">
      <w:pPr>
        <w:pStyle w:val="Heading2"/>
        <w:keepNext w:val="0"/>
        <w:keepLines w:val="0"/>
        <w:widowControl w:val="0"/>
        <w:numPr>
          <w:ilvl w:val="0"/>
          <w:numId w:val="27"/>
        </w:numPr>
        <w:autoSpaceDE w:val="0"/>
        <w:autoSpaceDN w:val="0"/>
        <w:spacing w:after="120"/>
        <w:ind w:hanging="650"/>
        <w:rPr>
          <w:sz w:val="36"/>
          <w:szCs w:val="36"/>
        </w:rPr>
      </w:pPr>
      <w:bookmarkStart w:id="6" w:name="Guiding_Principle"/>
      <w:bookmarkEnd w:id="6"/>
      <w:r w:rsidRPr="00497003">
        <w:rPr>
          <w:sz w:val="36"/>
          <w:szCs w:val="36"/>
        </w:rPr>
        <w:t>Disclosure of Interests - requirements and expectations for Directors and Governance Volunteers</w:t>
      </w:r>
    </w:p>
    <w:p w:rsidR="003A7DB8" w:rsidRDefault="003A7DB8" w:rsidP="003A7DB8">
      <w:pPr>
        <w:ind w:left="540"/>
        <w:rPr>
          <w:sz w:val="24"/>
          <w:szCs w:val="24"/>
        </w:rPr>
      </w:pPr>
      <w:r w:rsidRPr="00497003">
        <w:rPr>
          <w:sz w:val="24"/>
          <w:szCs w:val="24"/>
        </w:rPr>
        <w:t>A</w:t>
      </w:r>
      <w:r w:rsidRPr="00747672">
        <w:rPr>
          <w:bCs/>
          <w:sz w:val="24"/>
          <w:szCs w:val="24"/>
        </w:rPr>
        <w:t>s members of Vision Australia’s peak governance bodies, all Directors and Governance Volunteers are expected to behave beyond reproach with regard to conflicts and the recording of their interests. Due to the esteemed position held and the scope of their influence, any potential conflict must be disclosed as matters of urgency</w:t>
      </w:r>
      <w:r w:rsidRPr="00497003">
        <w:rPr>
          <w:sz w:val="24"/>
          <w:szCs w:val="24"/>
        </w:rPr>
        <w:t xml:space="preserve">. </w:t>
      </w:r>
    </w:p>
    <w:p w:rsidR="003A7DB8" w:rsidRPr="00497003" w:rsidRDefault="003A7DB8" w:rsidP="003A7DB8">
      <w:pPr>
        <w:ind w:left="540"/>
        <w:rPr>
          <w:sz w:val="24"/>
          <w:szCs w:val="24"/>
        </w:rPr>
      </w:pPr>
      <w:r w:rsidRPr="00497003">
        <w:rPr>
          <w:sz w:val="24"/>
          <w:szCs w:val="24"/>
        </w:rPr>
        <w:t>An individual should disclose to all other Directors and/or Committee Members:</w:t>
      </w:r>
    </w:p>
    <w:p w:rsidR="003A7DB8" w:rsidRPr="00497003" w:rsidRDefault="003A7DB8" w:rsidP="003A7DB8">
      <w:pPr>
        <w:pStyle w:val="BodyText"/>
        <w:numPr>
          <w:ilvl w:val="0"/>
          <w:numId w:val="26"/>
        </w:numPr>
        <w:spacing w:after="200" w:line="276" w:lineRule="auto"/>
        <w:ind w:left="990" w:right="389" w:hanging="450"/>
        <w:rPr>
          <w:sz w:val="24"/>
          <w:szCs w:val="24"/>
        </w:rPr>
      </w:pPr>
      <w:r w:rsidRPr="00497003">
        <w:rPr>
          <w:sz w:val="24"/>
          <w:szCs w:val="24"/>
        </w:rPr>
        <w:t xml:space="preserve">Any </w:t>
      </w:r>
      <w:r w:rsidRPr="00747672">
        <w:rPr>
          <w:color w:val="000000"/>
          <w:sz w:val="24"/>
          <w:szCs w:val="24"/>
          <w:shd w:val="clear" w:color="auto" w:fill="FFFFFF"/>
        </w:rPr>
        <w:t>interest</w:t>
      </w:r>
      <w:r w:rsidRPr="00497003">
        <w:rPr>
          <w:sz w:val="24"/>
          <w:szCs w:val="24"/>
        </w:rPr>
        <w:t xml:space="preserve"> that they have in a matter which relates to the affairs</w:t>
      </w:r>
      <w:r w:rsidRPr="00497003">
        <w:rPr>
          <w:spacing w:val="-35"/>
          <w:sz w:val="24"/>
          <w:szCs w:val="24"/>
        </w:rPr>
        <w:t xml:space="preserve"> </w:t>
      </w:r>
      <w:r w:rsidRPr="00497003">
        <w:rPr>
          <w:sz w:val="24"/>
          <w:szCs w:val="24"/>
        </w:rPr>
        <w:t>of Vision Australia;</w:t>
      </w:r>
      <w:r w:rsidRPr="00497003">
        <w:rPr>
          <w:spacing w:val="-10"/>
          <w:sz w:val="24"/>
          <w:szCs w:val="24"/>
        </w:rPr>
        <w:t xml:space="preserve"> </w:t>
      </w:r>
      <w:r w:rsidRPr="00497003">
        <w:rPr>
          <w:sz w:val="24"/>
          <w:szCs w:val="24"/>
        </w:rPr>
        <w:t>and</w:t>
      </w:r>
    </w:p>
    <w:p w:rsidR="003A7DB8" w:rsidRPr="00497003" w:rsidRDefault="003A7DB8" w:rsidP="003A7DB8">
      <w:pPr>
        <w:pStyle w:val="BodyText"/>
        <w:numPr>
          <w:ilvl w:val="0"/>
          <w:numId w:val="26"/>
        </w:numPr>
        <w:spacing w:after="200" w:line="276" w:lineRule="auto"/>
        <w:ind w:left="990" w:right="389" w:hanging="450"/>
        <w:rPr>
          <w:sz w:val="24"/>
          <w:szCs w:val="24"/>
        </w:rPr>
      </w:pPr>
      <w:r w:rsidRPr="00497003">
        <w:rPr>
          <w:sz w:val="24"/>
          <w:szCs w:val="24"/>
        </w:rPr>
        <w:t xml:space="preserve">Any </w:t>
      </w:r>
      <w:r w:rsidRPr="00747672">
        <w:rPr>
          <w:color w:val="000000"/>
          <w:sz w:val="24"/>
          <w:szCs w:val="24"/>
          <w:shd w:val="clear" w:color="auto" w:fill="FFFFFF"/>
        </w:rPr>
        <w:t>other</w:t>
      </w:r>
      <w:r w:rsidRPr="00497003">
        <w:rPr>
          <w:sz w:val="24"/>
          <w:szCs w:val="24"/>
        </w:rPr>
        <w:t xml:space="preserve"> interest, circumstance, relationship or other matter which the individual believes is appropriate to disclose in order to avoid an actual material conflict of </w:t>
      </w:r>
      <w:r w:rsidRPr="00747672">
        <w:rPr>
          <w:color w:val="000000"/>
          <w:sz w:val="24"/>
          <w:szCs w:val="24"/>
          <w:shd w:val="clear" w:color="auto" w:fill="FFFFFF"/>
        </w:rPr>
        <w:t>interest</w:t>
      </w:r>
      <w:r w:rsidRPr="00497003">
        <w:rPr>
          <w:sz w:val="24"/>
          <w:szCs w:val="24"/>
        </w:rPr>
        <w:t xml:space="preserve"> or the perception of a material conflict of interest.</w:t>
      </w:r>
    </w:p>
    <w:p w:rsidR="003A7DB8" w:rsidRPr="00497003" w:rsidRDefault="003A7DB8" w:rsidP="003A7DB8">
      <w:pPr>
        <w:ind w:left="540"/>
        <w:rPr>
          <w:sz w:val="24"/>
          <w:szCs w:val="24"/>
        </w:rPr>
      </w:pPr>
      <w:r w:rsidRPr="00497003">
        <w:rPr>
          <w:sz w:val="24"/>
          <w:szCs w:val="24"/>
        </w:rPr>
        <w:t>The disclosure should be made either:</w:t>
      </w:r>
    </w:p>
    <w:p w:rsidR="003A7DB8" w:rsidRPr="00497003" w:rsidRDefault="003A7DB8" w:rsidP="003A7DB8">
      <w:pPr>
        <w:pStyle w:val="BodyText"/>
        <w:numPr>
          <w:ilvl w:val="0"/>
          <w:numId w:val="26"/>
        </w:numPr>
        <w:spacing w:after="200" w:line="276" w:lineRule="auto"/>
        <w:ind w:left="990" w:right="389" w:hanging="450"/>
        <w:rPr>
          <w:sz w:val="24"/>
          <w:szCs w:val="24"/>
        </w:rPr>
      </w:pPr>
      <w:r w:rsidRPr="00497003">
        <w:rPr>
          <w:sz w:val="24"/>
          <w:szCs w:val="24"/>
        </w:rPr>
        <w:t xml:space="preserve">As soon </w:t>
      </w:r>
      <w:r w:rsidRPr="00747672">
        <w:rPr>
          <w:color w:val="000000"/>
          <w:sz w:val="24"/>
          <w:szCs w:val="24"/>
          <w:shd w:val="clear" w:color="auto" w:fill="FFFFFF"/>
        </w:rPr>
        <w:t>as</w:t>
      </w:r>
      <w:r w:rsidRPr="00497003">
        <w:rPr>
          <w:sz w:val="24"/>
          <w:szCs w:val="24"/>
        </w:rPr>
        <w:t xml:space="preserve"> practicable after the individual becomes aware of the</w:t>
      </w:r>
      <w:r w:rsidRPr="00497003">
        <w:rPr>
          <w:spacing w:val="-41"/>
          <w:sz w:val="24"/>
          <w:szCs w:val="24"/>
        </w:rPr>
        <w:t xml:space="preserve"> </w:t>
      </w:r>
      <w:r w:rsidRPr="00497003">
        <w:rPr>
          <w:sz w:val="24"/>
          <w:szCs w:val="24"/>
        </w:rPr>
        <w:t xml:space="preserve">interest, </w:t>
      </w:r>
      <w:r w:rsidRPr="005659F0">
        <w:rPr>
          <w:color w:val="000000"/>
          <w:sz w:val="24"/>
          <w:szCs w:val="24"/>
          <w:shd w:val="clear" w:color="auto" w:fill="FFFFFF"/>
        </w:rPr>
        <w:t>circumstances</w:t>
      </w:r>
      <w:r w:rsidRPr="00497003">
        <w:rPr>
          <w:sz w:val="24"/>
          <w:szCs w:val="24"/>
        </w:rPr>
        <w:t>, relationship or other matter,</w:t>
      </w:r>
      <w:r w:rsidRPr="00497003">
        <w:rPr>
          <w:spacing w:val="-16"/>
          <w:sz w:val="24"/>
          <w:szCs w:val="24"/>
        </w:rPr>
        <w:t xml:space="preserve"> </w:t>
      </w:r>
      <w:r w:rsidRPr="00497003">
        <w:rPr>
          <w:sz w:val="24"/>
          <w:szCs w:val="24"/>
        </w:rPr>
        <w:t>or</w:t>
      </w:r>
    </w:p>
    <w:p w:rsidR="003A7DB8" w:rsidRPr="00497003" w:rsidRDefault="003A7DB8" w:rsidP="003A7DB8">
      <w:pPr>
        <w:pStyle w:val="BodyText"/>
        <w:numPr>
          <w:ilvl w:val="0"/>
          <w:numId w:val="26"/>
        </w:numPr>
        <w:spacing w:after="200" w:line="276" w:lineRule="auto"/>
        <w:ind w:left="990" w:right="389" w:hanging="450"/>
        <w:rPr>
          <w:sz w:val="24"/>
          <w:szCs w:val="24"/>
        </w:rPr>
      </w:pPr>
      <w:r w:rsidRPr="00497003">
        <w:rPr>
          <w:sz w:val="24"/>
          <w:szCs w:val="24"/>
        </w:rPr>
        <w:t xml:space="preserve">In the </w:t>
      </w:r>
      <w:r w:rsidRPr="00747672">
        <w:rPr>
          <w:color w:val="000000"/>
          <w:sz w:val="24"/>
          <w:szCs w:val="24"/>
          <w:shd w:val="clear" w:color="auto" w:fill="FFFFFF"/>
        </w:rPr>
        <w:t>Standing</w:t>
      </w:r>
      <w:r w:rsidRPr="00497003">
        <w:rPr>
          <w:sz w:val="24"/>
          <w:szCs w:val="24"/>
        </w:rPr>
        <w:t xml:space="preserve"> Notice of Disclosure of Interests (see procedure</w:t>
      </w:r>
      <w:r w:rsidRPr="00497003">
        <w:rPr>
          <w:spacing w:val="-42"/>
          <w:sz w:val="24"/>
          <w:szCs w:val="24"/>
        </w:rPr>
        <w:t xml:space="preserve"> </w:t>
      </w:r>
      <w:r w:rsidRPr="00497003">
        <w:rPr>
          <w:sz w:val="24"/>
          <w:szCs w:val="24"/>
        </w:rPr>
        <w:t>below).</w:t>
      </w:r>
    </w:p>
    <w:p w:rsidR="003A7DB8" w:rsidRPr="00497003" w:rsidRDefault="003A7DB8" w:rsidP="003A7DB8">
      <w:pPr>
        <w:ind w:left="540"/>
        <w:rPr>
          <w:sz w:val="24"/>
          <w:szCs w:val="24"/>
        </w:rPr>
      </w:pPr>
      <w:r w:rsidRPr="00497003">
        <w:rPr>
          <w:sz w:val="24"/>
          <w:szCs w:val="24"/>
        </w:rPr>
        <w:t>Details of the disclosure must be recorded in the minutes of the meeting at which the disclosure is made or the first meeting following the disclosure.</w:t>
      </w:r>
    </w:p>
    <w:p w:rsidR="003A7DB8" w:rsidRPr="00402D2C" w:rsidRDefault="003A7DB8" w:rsidP="003A7DB8">
      <w:pPr>
        <w:pStyle w:val="Heading2"/>
        <w:keepNext w:val="0"/>
        <w:keepLines w:val="0"/>
        <w:widowControl w:val="0"/>
        <w:numPr>
          <w:ilvl w:val="0"/>
          <w:numId w:val="27"/>
        </w:numPr>
        <w:autoSpaceDE w:val="0"/>
        <w:autoSpaceDN w:val="0"/>
        <w:spacing w:before="0" w:after="200"/>
        <w:ind w:hanging="650"/>
      </w:pPr>
      <w:bookmarkStart w:id="7" w:name="Procedure_-_Standing_Notice_of_Disclosur"/>
      <w:bookmarkEnd w:id="7"/>
      <w:r w:rsidRPr="00203EB1">
        <w:rPr>
          <w:sz w:val="36"/>
          <w:szCs w:val="36"/>
        </w:rPr>
        <w:t>Procedure</w:t>
      </w:r>
      <w:r w:rsidRPr="00402D2C">
        <w:t xml:space="preserve"> - Standing Notice of Disclosure of Interest</w:t>
      </w:r>
    </w:p>
    <w:p w:rsidR="003A7DB8" w:rsidRPr="00497003" w:rsidRDefault="003A7DB8" w:rsidP="003A7DB8">
      <w:pPr>
        <w:ind w:left="540"/>
        <w:rPr>
          <w:sz w:val="24"/>
          <w:szCs w:val="24"/>
        </w:rPr>
      </w:pPr>
      <w:r w:rsidRPr="00497003">
        <w:rPr>
          <w:sz w:val="24"/>
          <w:szCs w:val="24"/>
        </w:rPr>
        <w:t>Each Director and/or Governance Volunteer must complete a Standing Notice of Disclosure of Interests as part of their onboarding process</w:t>
      </w:r>
      <w:r>
        <w:rPr>
          <w:sz w:val="24"/>
          <w:szCs w:val="24"/>
        </w:rPr>
        <w:t xml:space="preserve">.  These disclosures </w:t>
      </w:r>
      <w:r w:rsidRPr="00497003">
        <w:rPr>
          <w:sz w:val="24"/>
          <w:szCs w:val="24"/>
        </w:rPr>
        <w:t>these will be recorded in the minutes of the first meeting that the individual attends.</w:t>
      </w:r>
    </w:p>
    <w:p w:rsidR="003A7DB8" w:rsidRPr="00497003" w:rsidRDefault="003A7DB8" w:rsidP="003A7DB8">
      <w:pPr>
        <w:ind w:left="540"/>
        <w:rPr>
          <w:sz w:val="24"/>
          <w:szCs w:val="24"/>
        </w:rPr>
      </w:pPr>
      <w:r w:rsidRPr="00497003">
        <w:rPr>
          <w:sz w:val="24"/>
          <w:szCs w:val="24"/>
        </w:rPr>
        <w:t>Individuals must disclose any changes to the Standing Notice of Disclosure of Interests as soon as practicable. Such changes will be recorded in the minutes of the meeting at which they are disclosed.</w:t>
      </w:r>
    </w:p>
    <w:p w:rsidR="003A7DB8" w:rsidRPr="00497003" w:rsidRDefault="003A7DB8" w:rsidP="003A7DB8">
      <w:pPr>
        <w:ind w:left="540"/>
        <w:rPr>
          <w:sz w:val="24"/>
          <w:szCs w:val="24"/>
        </w:rPr>
      </w:pPr>
      <w:r w:rsidRPr="00497003">
        <w:rPr>
          <w:sz w:val="24"/>
          <w:szCs w:val="24"/>
        </w:rPr>
        <w:t>A Standing Notice of Disclosure of Interests will be distributed to all governance meetings at least annually.  The tabling of this document will be minute</w:t>
      </w:r>
      <w:r>
        <w:rPr>
          <w:sz w:val="24"/>
          <w:szCs w:val="24"/>
        </w:rPr>
        <w:t>d</w:t>
      </w:r>
      <w:r w:rsidRPr="00497003">
        <w:rPr>
          <w:sz w:val="24"/>
          <w:szCs w:val="24"/>
        </w:rPr>
        <w:t>.</w:t>
      </w:r>
    </w:p>
    <w:p w:rsidR="003A7DB8" w:rsidRDefault="003A7DB8" w:rsidP="003A7DB8">
      <w:pPr>
        <w:pStyle w:val="Heading2"/>
        <w:keepNext w:val="0"/>
        <w:keepLines w:val="0"/>
        <w:widowControl w:val="0"/>
        <w:numPr>
          <w:ilvl w:val="0"/>
          <w:numId w:val="27"/>
        </w:numPr>
        <w:autoSpaceDE w:val="0"/>
        <w:autoSpaceDN w:val="0"/>
        <w:spacing w:after="120"/>
        <w:ind w:hanging="650"/>
      </w:pPr>
      <w:bookmarkStart w:id="8" w:name="Procedure_for_Handling_Material_Conflict"/>
      <w:bookmarkEnd w:id="8"/>
      <w:r w:rsidRPr="00203EB1">
        <w:rPr>
          <w:sz w:val="36"/>
          <w:szCs w:val="36"/>
        </w:rPr>
        <w:t>Procedure</w:t>
      </w:r>
      <w:r w:rsidRPr="006A7F29">
        <w:t xml:space="preserve"> for Handling Material Conflict of Interest</w:t>
      </w:r>
    </w:p>
    <w:p w:rsidR="003A7DB8" w:rsidRPr="005659F0" w:rsidRDefault="003A7DB8" w:rsidP="003A7DB8">
      <w:pPr>
        <w:pStyle w:val="Heading2"/>
        <w:spacing w:after="120"/>
        <w:ind w:left="540"/>
      </w:pPr>
      <w:r w:rsidRPr="005659F0">
        <w:rPr>
          <w:b w:val="0"/>
          <w:sz w:val="24"/>
          <w:szCs w:val="24"/>
        </w:rPr>
        <w:t>The policy should provide that where, as a result of the disclosure, it is the view of the Board or Committee (excluding the individual making the disclosure) that the individual has an interest which gives rise to a material conflict or perceived material conflict, then</w:t>
      </w:r>
      <w:r w:rsidRPr="005659F0">
        <w:rPr>
          <w:sz w:val="24"/>
          <w:szCs w:val="24"/>
        </w:rPr>
        <w:t>:</w:t>
      </w:r>
    </w:p>
    <w:p w:rsidR="003A7DB8" w:rsidRPr="00DC27A9" w:rsidRDefault="003A7DB8" w:rsidP="003A7DB8">
      <w:pPr>
        <w:pStyle w:val="BodyText"/>
        <w:numPr>
          <w:ilvl w:val="0"/>
          <w:numId w:val="28"/>
        </w:numPr>
        <w:spacing w:after="200" w:line="276" w:lineRule="auto"/>
        <w:ind w:left="990" w:right="389" w:hanging="450"/>
        <w:rPr>
          <w:sz w:val="24"/>
          <w:szCs w:val="24"/>
        </w:rPr>
      </w:pPr>
      <w:r w:rsidRPr="00DC27A9">
        <w:rPr>
          <w:sz w:val="24"/>
          <w:szCs w:val="24"/>
        </w:rPr>
        <w:t xml:space="preserve">The </w:t>
      </w:r>
      <w:r w:rsidRPr="005659F0">
        <w:rPr>
          <w:color w:val="000000"/>
          <w:sz w:val="24"/>
          <w:szCs w:val="24"/>
          <w:shd w:val="clear" w:color="auto" w:fill="FFFFFF"/>
        </w:rPr>
        <w:t>individual</w:t>
      </w:r>
      <w:r w:rsidRPr="00DC27A9">
        <w:rPr>
          <w:sz w:val="24"/>
          <w:szCs w:val="24"/>
        </w:rPr>
        <w:t xml:space="preserve"> should not participate </w:t>
      </w:r>
      <w:r w:rsidRPr="00DC27A9">
        <w:rPr>
          <w:spacing w:val="-4"/>
          <w:sz w:val="24"/>
          <w:szCs w:val="24"/>
        </w:rPr>
        <w:t xml:space="preserve">in </w:t>
      </w:r>
      <w:r w:rsidRPr="00DC27A9">
        <w:rPr>
          <w:sz w:val="24"/>
          <w:szCs w:val="24"/>
        </w:rPr>
        <w:t>any discussion about the matter and should not receive related Board papers or information.</w:t>
      </w:r>
    </w:p>
    <w:p w:rsidR="003A7DB8" w:rsidRPr="00DC27A9" w:rsidRDefault="003A7DB8" w:rsidP="003A7DB8">
      <w:pPr>
        <w:pStyle w:val="BodyText"/>
        <w:numPr>
          <w:ilvl w:val="0"/>
          <w:numId w:val="28"/>
        </w:numPr>
        <w:spacing w:after="200" w:line="276" w:lineRule="auto"/>
        <w:ind w:left="990" w:right="389" w:hanging="450"/>
        <w:rPr>
          <w:sz w:val="24"/>
          <w:szCs w:val="24"/>
        </w:rPr>
      </w:pPr>
      <w:r w:rsidRPr="00DC27A9">
        <w:rPr>
          <w:sz w:val="24"/>
          <w:szCs w:val="24"/>
        </w:rPr>
        <w:t xml:space="preserve">The </w:t>
      </w:r>
      <w:r w:rsidRPr="005659F0">
        <w:rPr>
          <w:color w:val="000000"/>
          <w:sz w:val="24"/>
          <w:szCs w:val="24"/>
          <w:shd w:val="clear" w:color="auto" w:fill="FFFFFF"/>
        </w:rPr>
        <w:t>individual</w:t>
      </w:r>
      <w:r w:rsidRPr="00DC27A9">
        <w:rPr>
          <w:sz w:val="24"/>
          <w:szCs w:val="24"/>
        </w:rPr>
        <w:t xml:space="preserve"> should not remain in any meeting when the matter is being discussed. </w:t>
      </w:r>
    </w:p>
    <w:p w:rsidR="003A7DB8" w:rsidRPr="00DC27A9" w:rsidRDefault="003A7DB8" w:rsidP="003A7DB8">
      <w:pPr>
        <w:pStyle w:val="BodyText"/>
        <w:numPr>
          <w:ilvl w:val="0"/>
          <w:numId w:val="28"/>
        </w:numPr>
        <w:spacing w:after="200" w:line="276" w:lineRule="auto"/>
        <w:ind w:left="990" w:right="389" w:hanging="450"/>
        <w:rPr>
          <w:sz w:val="24"/>
          <w:szCs w:val="24"/>
        </w:rPr>
      </w:pPr>
      <w:r w:rsidRPr="00DC27A9">
        <w:rPr>
          <w:sz w:val="24"/>
          <w:szCs w:val="24"/>
        </w:rPr>
        <w:t xml:space="preserve">The </w:t>
      </w:r>
      <w:r w:rsidRPr="005659F0">
        <w:rPr>
          <w:color w:val="000000"/>
          <w:sz w:val="24"/>
          <w:szCs w:val="24"/>
          <w:shd w:val="clear" w:color="auto" w:fill="FFFFFF"/>
        </w:rPr>
        <w:t>individual</w:t>
      </w:r>
      <w:r w:rsidRPr="00DC27A9">
        <w:rPr>
          <w:sz w:val="24"/>
          <w:szCs w:val="24"/>
        </w:rPr>
        <w:t xml:space="preserve"> should not vote on the matter, nor should the Director influence the voting of</w:t>
      </w:r>
      <w:r w:rsidRPr="00DC27A9">
        <w:rPr>
          <w:spacing w:val="-21"/>
          <w:sz w:val="24"/>
          <w:szCs w:val="24"/>
        </w:rPr>
        <w:t xml:space="preserve"> </w:t>
      </w:r>
      <w:r w:rsidRPr="00DC27A9">
        <w:rPr>
          <w:sz w:val="24"/>
          <w:szCs w:val="24"/>
        </w:rPr>
        <w:t>others.</w:t>
      </w:r>
    </w:p>
    <w:p w:rsidR="003A7DB8" w:rsidRPr="00DC27A9" w:rsidRDefault="003A7DB8" w:rsidP="003A7DB8">
      <w:pPr>
        <w:pStyle w:val="BodyText"/>
        <w:numPr>
          <w:ilvl w:val="0"/>
          <w:numId w:val="28"/>
        </w:numPr>
        <w:spacing w:after="200" w:line="276" w:lineRule="auto"/>
        <w:ind w:left="990" w:right="389" w:hanging="450"/>
        <w:rPr>
          <w:sz w:val="24"/>
          <w:szCs w:val="24"/>
        </w:rPr>
      </w:pPr>
      <w:bookmarkStart w:id="9" w:name="_Ref86959623"/>
      <w:r w:rsidRPr="00DC27A9">
        <w:rPr>
          <w:sz w:val="24"/>
          <w:szCs w:val="24"/>
        </w:rPr>
        <w:t>Where the individual</w:t>
      </w:r>
      <w:r w:rsidRPr="00DC27A9" w:rsidDel="00D85EF9">
        <w:rPr>
          <w:sz w:val="24"/>
          <w:szCs w:val="24"/>
        </w:rPr>
        <w:t xml:space="preserve"> </w:t>
      </w:r>
      <w:r w:rsidRPr="00DC27A9">
        <w:rPr>
          <w:sz w:val="24"/>
          <w:szCs w:val="24"/>
        </w:rPr>
        <w:t xml:space="preserve">with the “conflict” has a particular knowledge or expertise in the matter </w:t>
      </w:r>
      <w:r w:rsidRPr="005659F0">
        <w:rPr>
          <w:color w:val="000000"/>
          <w:sz w:val="24"/>
          <w:szCs w:val="24"/>
          <w:shd w:val="clear" w:color="auto" w:fill="FFFFFF"/>
        </w:rPr>
        <w:t>which</w:t>
      </w:r>
      <w:r w:rsidRPr="00DC27A9">
        <w:rPr>
          <w:sz w:val="24"/>
          <w:szCs w:val="24"/>
        </w:rPr>
        <w:t xml:space="preserve"> the Board is unable to receive through any other channel, the individual may, provided all the other Directors/members agree and provided to do so is in the interests of the organisation, present their comments to the meeting, provided they do not promote a particular decision and are not present nor do they </w:t>
      </w:r>
      <w:r w:rsidRPr="00DC27A9">
        <w:rPr>
          <w:spacing w:val="-3"/>
          <w:sz w:val="24"/>
          <w:szCs w:val="24"/>
        </w:rPr>
        <w:t xml:space="preserve">vote </w:t>
      </w:r>
      <w:r w:rsidRPr="00DC27A9">
        <w:rPr>
          <w:sz w:val="24"/>
          <w:szCs w:val="24"/>
        </w:rPr>
        <w:t>on the matter. In such circumstances, the individual may also receive copies of the relevant Board papers and related information so that they are able to properly provide the benefit of their knowledge and expertise to the</w:t>
      </w:r>
      <w:r w:rsidRPr="00DC27A9">
        <w:rPr>
          <w:spacing w:val="-10"/>
          <w:sz w:val="24"/>
          <w:szCs w:val="24"/>
        </w:rPr>
        <w:t xml:space="preserve"> </w:t>
      </w:r>
      <w:r w:rsidRPr="00DC27A9">
        <w:rPr>
          <w:sz w:val="24"/>
          <w:szCs w:val="24"/>
        </w:rPr>
        <w:t>Board.</w:t>
      </w:r>
      <w:bookmarkEnd w:id="9"/>
    </w:p>
    <w:p w:rsidR="003A7DB8" w:rsidRPr="00DC27A9" w:rsidRDefault="003A7DB8" w:rsidP="003A7DB8">
      <w:pPr>
        <w:pStyle w:val="BodyText"/>
        <w:numPr>
          <w:ilvl w:val="0"/>
          <w:numId w:val="28"/>
        </w:numPr>
        <w:spacing w:after="200" w:line="276" w:lineRule="auto"/>
        <w:ind w:left="990" w:right="389" w:hanging="450"/>
        <w:rPr>
          <w:sz w:val="24"/>
          <w:szCs w:val="24"/>
        </w:rPr>
      </w:pPr>
      <w:r w:rsidRPr="00DC27A9">
        <w:rPr>
          <w:sz w:val="24"/>
          <w:szCs w:val="24"/>
        </w:rPr>
        <w:t xml:space="preserve">Where the majority or all the people appointed to that Board or Committee have a material </w:t>
      </w:r>
      <w:r w:rsidRPr="005659F0">
        <w:rPr>
          <w:color w:val="000000"/>
          <w:sz w:val="24"/>
          <w:szCs w:val="24"/>
          <w:shd w:val="clear" w:color="auto" w:fill="FFFFFF"/>
        </w:rPr>
        <w:t>conflict</w:t>
      </w:r>
      <w:r w:rsidRPr="00DC27A9">
        <w:rPr>
          <w:sz w:val="24"/>
          <w:szCs w:val="24"/>
        </w:rPr>
        <w:t>, the material conflict should be disclosed to the members and their consent to the decision</w:t>
      </w:r>
      <w:r w:rsidRPr="00DC27A9">
        <w:rPr>
          <w:spacing w:val="-16"/>
          <w:sz w:val="24"/>
          <w:szCs w:val="24"/>
        </w:rPr>
        <w:t xml:space="preserve"> </w:t>
      </w:r>
      <w:r w:rsidRPr="00DC27A9">
        <w:rPr>
          <w:sz w:val="24"/>
          <w:szCs w:val="24"/>
        </w:rPr>
        <w:t>obtained.</w:t>
      </w:r>
    </w:p>
    <w:p w:rsidR="003A7DB8" w:rsidRPr="00DC27A9" w:rsidRDefault="003A7DB8" w:rsidP="003A7DB8">
      <w:pPr>
        <w:pStyle w:val="BodyText"/>
        <w:spacing w:after="200" w:line="269" w:lineRule="auto"/>
        <w:ind w:left="475" w:right="101"/>
        <w:rPr>
          <w:sz w:val="24"/>
          <w:szCs w:val="24"/>
        </w:rPr>
      </w:pPr>
      <w:r w:rsidRPr="00DC27A9">
        <w:rPr>
          <w:sz w:val="24"/>
          <w:szCs w:val="24"/>
        </w:rPr>
        <w:t>The minutes of the meeting should record:</w:t>
      </w:r>
    </w:p>
    <w:p w:rsidR="003A7DB8" w:rsidRPr="00DC27A9" w:rsidRDefault="003A7DB8" w:rsidP="003A7DB8">
      <w:pPr>
        <w:pStyle w:val="BodyText"/>
        <w:numPr>
          <w:ilvl w:val="0"/>
          <w:numId w:val="29"/>
        </w:numPr>
        <w:spacing w:after="200" w:line="276" w:lineRule="auto"/>
        <w:ind w:left="990" w:right="389" w:hanging="450"/>
        <w:rPr>
          <w:sz w:val="24"/>
          <w:szCs w:val="24"/>
        </w:rPr>
      </w:pPr>
      <w:r w:rsidRPr="00DC27A9">
        <w:rPr>
          <w:sz w:val="24"/>
          <w:szCs w:val="24"/>
        </w:rPr>
        <w:t xml:space="preserve">the </w:t>
      </w:r>
      <w:r w:rsidRPr="005659F0">
        <w:rPr>
          <w:color w:val="000000"/>
          <w:sz w:val="24"/>
          <w:szCs w:val="24"/>
          <w:shd w:val="clear" w:color="auto" w:fill="FFFFFF"/>
        </w:rPr>
        <w:t>identification</w:t>
      </w:r>
      <w:r w:rsidRPr="00DC27A9">
        <w:rPr>
          <w:sz w:val="24"/>
          <w:szCs w:val="24"/>
        </w:rPr>
        <w:t xml:space="preserve"> of the conflict, </w:t>
      </w:r>
    </w:p>
    <w:p w:rsidR="003A7DB8" w:rsidRPr="00DC27A9" w:rsidRDefault="003A7DB8" w:rsidP="003A7DB8">
      <w:pPr>
        <w:pStyle w:val="BodyText"/>
        <w:numPr>
          <w:ilvl w:val="0"/>
          <w:numId w:val="29"/>
        </w:numPr>
        <w:spacing w:after="200" w:line="276" w:lineRule="auto"/>
        <w:ind w:left="990" w:right="389" w:hanging="450"/>
        <w:rPr>
          <w:sz w:val="24"/>
          <w:szCs w:val="24"/>
        </w:rPr>
      </w:pPr>
      <w:r w:rsidRPr="00DC27A9">
        <w:rPr>
          <w:sz w:val="24"/>
          <w:szCs w:val="24"/>
        </w:rPr>
        <w:t>the fact that the individual was not present for the discussion or the vote (as relevant) and the decision taken by the Directors/Committee members who do not have an interest in the matter.</w:t>
      </w:r>
    </w:p>
    <w:p w:rsidR="003A7DB8" w:rsidRPr="00DC27A9" w:rsidRDefault="003A7DB8" w:rsidP="003A7DB8">
      <w:pPr>
        <w:pStyle w:val="BodyText"/>
        <w:numPr>
          <w:ilvl w:val="0"/>
          <w:numId w:val="29"/>
        </w:numPr>
        <w:spacing w:after="200" w:line="276" w:lineRule="auto"/>
        <w:ind w:left="990" w:right="389" w:hanging="450"/>
        <w:rPr>
          <w:sz w:val="24"/>
          <w:szCs w:val="24"/>
        </w:rPr>
      </w:pPr>
      <w:r w:rsidRPr="00DC27A9">
        <w:rPr>
          <w:sz w:val="24"/>
          <w:szCs w:val="24"/>
        </w:rPr>
        <w:t>the time and stage at which the impacted individual re-joins the meeting (if that is the case) and also what other process is to be put in place to further manage the conflict.</w:t>
      </w:r>
    </w:p>
    <w:p w:rsidR="003A7DB8" w:rsidRPr="00DC27A9" w:rsidRDefault="003A7DB8" w:rsidP="003A7DB8">
      <w:pPr>
        <w:pStyle w:val="BodyText"/>
        <w:numPr>
          <w:ilvl w:val="0"/>
          <w:numId w:val="29"/>
        </w:numPr>
        <w:spacing w:after="200" w:line="276" w:lineRule="auto"/>
        <w:ind w:left="990" w:right="389" w:hanging="450"/>
        <w:rPr>
          <w:sz w:val="24"/>
          <w:szCs w:val="24"/>
        </w:rPr>
      </w:pPr>
      <w:r w:rsidRPr="00DC27A9">
        <w:rPr>
          <w:sz w:val="24"/>
          <w:szCs w:val="24"/>
        </w:rPr>
        <w:t xml:space="preserve">any instance where a decision is made by the relevant forum to allow the individual to </w:t>
      </w:r>
      <w:r w:rsidRPr="005659F0">
        <w:rPr>
          <w:color w:val="000000"/>
          <w:sz w:val="24"/>
          <w:szCs w:val="24"/>
          <w:shd w:val="clear" w:color="auto" w:fill="FFFFFF"/>
        </w:rPr>
        <w:t>provide</w:t>
      </w:r>
      <w:r w:rsidRPr="00DC27A9">
        <w:rPr>
          <w:sz w:val="24"/>
          <w:szCs w:val="24"/>
        </w:rPr>
        <w:t xml:space="preserve"> the benefit of their knowledge and expertise as contemplated by clause </w:t>
      </w:r>
      <w:r w:rsidRPr="00DC27A9">
        <w:rPr>
          <w:sz w:val="24"/>
          <w:szCs w:val="24"/>
        </w:rPr>
        <w:fldChar w:fldCharType="begin"/>
      </w:r>
      <w:r w:rsidRPr="00DC27A9">
        <w:rPr>
          <w:sz w:val="24"/>
          <w:szCs w:val="24"/>
        </w:rPr>
        <w:instrText xml:space="preserve"> REF _Ref86959623 \r \h </w:instrText>
      </w:r>
      <w:r>
        <w:rPr>
          <w:sz w:val="24"/>
          <w:szCs w:val="24"/>
        </w:rPr>
        <w:instrText xml:space="preserve"> \* MERGEFORMAT </w:instrText>
      </w:r>
      <w:r w:rsidRPr="00DC27A9">
        <w:rPr>
          <w:sz w:val="24"/>
          <w:szCs w:val="24"/>
        </w:rPr>
      </w:r>
      <w:r w:rsidRPr="00DC27A9">
        <w:rPr>
          <w:sz w:val="24"/>
          <w:szCs w:val="24"/>
        </w:rPr>
        <w:fldChar w:fldCharType="separate"/>
      </w:r>
      <w:r>
        <w:rPr>
          <w:sz w:val="24"/>
          <w:szCs w:val="24"/>
        </w:rPr>
        <w:t>d)</w:t>
      </w:r>
      <w:r w:rsidRPr="00DC27A9">
        <w:rPr>
          <w:sz w:val="24"/>
          <w:szCs w:val="24"/>
        </w:rPr>
        <w:fldChar w:fldCharType="end"/>
      </w:r>
      <w:r w:rsidRPr="00DC27A9">
        <w:rPr>
          <w:sz w:val="24"/>
          <w:szCs w:val="24"/>
        </w:rPr>
        <w:t xml:space="preserve"> above.</w:t>
      </w:r>
    </w:p>
    <w:p w:rsidR="003A7DB8" w:rsidRPr="0040497B" w:rsidRDefault="003A7DB8" w:rsidP="003A7DB8">
      <w:pPr>
        <w:pStyle w:val="Heading1"/>
      </w:pPr>
      <w:r w:rsidRPr="0040497B">
        <w:t>Status of Policy</w:t>
      </w:r>
    </w:p>
    <w:p w:rsidR="003A7DB8" w:rsidRPr="00497003" w:rsidRDefault="003A7DB8" w:rsidP="003A7DB8">
      <w:pPr>
        <w:pStyle w:val="BodyText"/>
        <w:spacing w:before="286" w:line="266" w:lineRule="auto"/>
        <w:ind w:right="741"/>
        <w:rPr>
          <w:sz w:val="24"/>
          <w:szCs w:val="24"/>
        </w:rPr>
      </w:pPr>
      <w:r w:rsidRPr="00497003">
        <w:rPr>
          <w:sz w:val="24"/>
          <w:szCs w:val="24"/>
        </w:rPr>
        <w:t>This Policy will be reviewed annually, or more frequently if changes to legal or regulatory requirements dictate.</w:t>
      </w:r>
    </w:p>
    <w:p w:rsidR="003A7DB8" w:rsidRPr="007A1B1F" w:rsidRDefault="003A7DB8" w:rsidP="003A7DB8">
      <w:pPr>
        <w:pStyle w:val="Heading1"/>
      </w:pPr>
      <w:r w:rsidRPr="007A1B1F">
        <w:t>Defined terms</w:t>
      </w:r>
    </w:p>
    <w:p w:rsidR="003A7DB8" w:rsidRPr="00497003" w:rsidRDefault="003A7DB8" w:rsidP="003A7DB8">
      <w:pPr>
        <w:pStyle w:val="BodyText"/>
        <w:spacing w:before="286" w:line="266" w:lineRule="auto"/>
        <w:ind w:right="741"/>
        <w:rPr>
          <w:sz w:val="24"/>
          <w:szCs w:val="24"/>
        </w:rPr>
      </w:pPr>
      <w:r w:rsidRPr="00E41AC0">
        <w:rPr>
          <w:b/>
          <w:sz w:val="24"/>
          <w:szCs w:val="24"/>
        </w:rPr>
        <w:t>Di</w:t>
      </w:r>
      <w:r w:rsidRPr="00497003">
        <w:rPr>
          <w:b/>
          <w:sz w:val="24"/>
          <w:szCs w:val="24"/>
        </w:rPr>
        <w:t>rectors</w:t>
      </w:r>
      <w:r w:rsidRPr="00497003">
        <w:rPr>
          <w:sz w:val="24"/>
          <w:szCs w:val="24"/>
        </w:rPr>
        <w:t xml:space="preserve">: means anyone who has been appointed to the Board of Vision Australia or the Vision Australia Foundation. </w:t>
      </w:r>
    </w:p>
    <w:p w:rsidR="003A7DB8" w:rsidRPr="00497003" w:rsidRDefault="003A7DB8" w:rsidP="003A7DB8">
      <w:pPr>
        <w:pStyle w:val="BodyText"/>
        <w:spacing w:before="286" w:line="266" w:lineRule="auto"/>
        <w:ind w:right="741"/>
        <w:rPr>
          <w:sz w:val="24"/>
          <w:szCs w:val="24"/>
        </w:rPr>
      </w:pPr>
      <w:r w:rsidRPr="00497003">
        <w:rPr>
          <w:b/>
          <w:sz w:val="24"/>
          <w:szCs w:val="24"/>
        </w:rPr>
        <w:t>Governance Volunteers</w:t>
      </w:r>
      <w:r>
        <w:rPr>
          <w:b/>
          <w:sz w:val="24"/>
          <w:szCs w:val="24"/>
        </w:rPr>
        <w:t>:</w:t>
      </w:r>
      <w:r w:rsidRPr="00497003">
        <w:rPr>
          <w:b/>
          <w:sz w:val="24"/>
          <w:szCs w:val="24"/>
        </w:rPr>
        <w:t xml:space="preserve"> </w:t>
      </w:r>
      <w:r w:rsidRPr="00497003">
        <w:rPr>
          <w:sz w:val="24"/>
          <w:szCs w:val="24"/>
        </w:rPr>
        <w:t>means those individuals who serve on the Board or are as a member of one of its committees.</w:t>
      </w:r>
    </w:p>
    <w:p w:rsidR="003A7DB8" w:rsidRPr="00497003" w:rsidRDefault="003A7DB8" w:rsidP="003A7DB8">
      <w:pPr>
        <w:pStyle w:val="BodyText"/>
        <w:spacing w:before="286" w:line="266" w:lineRule="auto"/>
        <w:ind w:right="741"/>
        <w:rPr>
          <w:sz w:val="24"/>
          <w:szCs w:val="24"/>
        </w:rPr>
      </w:pPr>
      <w:r w:rsidRPr="00497003">
        <w:rPr>
          <w:b/>
          <w:sz w:val="24"/>
          <w:szCs w:val="24"/>
        </w:rPr>
        <w:t>Immediate family members:</w:t>
      </w:r>
      <w:r w:rsidRPr="00497003">
        <w:rPr>
          <w:sz w:val="24"/>
          <w:szCs w:val="24"/>
        </w:rPr>
        <w:t xml:space="preserve"> means the individual’s spouse or partner, children and parent.</w:t>
      </w:r>
    </w:p>
    <w:p w:rsidR="003A7DB8" w:rsidRPr="00497003" w:rsidRDefault="003A7DB8" w:rsidP="003A7DB8">
      <w:pPr>
        <w:pStyle w:val="BodyText"/>
        <w:spacing w:before="286" w:line="266" w:lineRule="auto"/>
        <w:ind w:right="741"/>
        <w:rPr>
          <w:sz w:val="24"/>
          <w:szCs w:val="24"/>
          <w:lang w:eastAsia="en-AU"/>
        </w:rPr>
      </w:pPr>
      <w:r w:rsidRPr="00497003">
        <w:rPr>
          <w:b/>
          <w:sz w:val="24"/>
          <w:szCs w:val="24"/>
          <w:lang w:eastAsia="en-AU"/>
        </w:rPr>
        <w:t>Senior Managers</w:t>
      </w:r>
      <w:r w:rsidRPr="00497003">
        <w:rPr>
          <w:sz w:val="24"/>
          <w:szCs w:val="24"/>
          <w:lang w:eastAsia="en-AU"/>
        </w:rPr>
        <w:t>: all direct reports to the CEO and any non</w:t>
      </w:r>
      <w:r>
        <w:rPr>
          <w:sz w:val="24"/>
          <w:szCs w:val="24"/>
          <w:lang w:eastAsia="en-AU"/>
        </w:rPr>
        <w:t>-</w:t>
      </w:r>
      <w:r w:rsidRPr="00497003">
        <w:rPr>
          <w:sz w:val="24"/>
          <w:szCs w:val="24"/>
          <w:lang w:eastAsia="en-AU"/>
        </w:rPr>
        <w:t xml:space="preserve">direct reports who are part of the Leadership Team. </w:t>
      </w:r>
    </w:p>
    <w:p w:rsidR="003A7DB8" w:rsidRPr="00497003" w:rsidRDefault="003A7DB8" w:rsidP="003A7DB8">
      <w:pPr>
        <w:pStyle w:val="BodyText"/>
        <w:spacing w:before="286" w:line="266" w:lineRule="auto"/>
        <w:ind w:right="741"/>
        <w:rPr>
          <w:sz w:val="24"/>
          <w:szCs w:val="24"/>
        </w:rPr>
      </w:pPr>
      <w:r w:rsidRPr="00497003">
        <w:rPr>
          <w:b/>
          <w:sz w:val="24"/>
          <w:szCs w:val="24"/>
        </w:rPr>
        <w:t>Vision Australia</w:t>
      </w:r>
      <w:r w:rsidRPr="00497003">
        <w:rPr>
          <w:b/>
          <w:sz w:val="24"/>
          <w:szCs w:val="24"/>
          <w:lang w:eastAsia="en-AU"/>
        </w:rPr>
        <w:t xml:space="preserve">: </w:t>
      </w:r>
      <w:r w:rsidRPr="00497003">
        <w:rPr>
          <w:sz w:val="24"/>
          <w:szCs w:val="24"/>
          <w:lang w:eastAsia="en-AU"/>
        </w:rPr>
        <w:t xml:space="preserve">Vision Australia Limited (ACN 108 391 83) includes the associated entities of Seeing Eye Dogs Australia Pty Ltd (ACN 004 758 641), </w:t>
      </w:r>
      <w:r w:rsidRPr="00497003">
        <w:rPr>
          <w:sz w:val="24"/>
          <w:szCs w:val="24"/>
        </w:rPr>
        <w:t xml:space="preserve">6RPH Pty Ltd </w:t>
      </w:r>
      <w:r w:rsidRPr="00497003">
        <w:rPr>
          <w:rFonts w:eastAsiaTheme="minorEastAsia"/>
          <w:bCs/>
          <w:sz w:val="24"/>
          <w:szCs w:val="24"/>
        </w:rPr>
        <w:t>ACN 608 797 762</w:t>
      </w:r>
      <w:r w:rsidRPr="00497003">
        <w:rPr>
          <w:sz w:val="24"/>
          <w:szCs w:val="24"/>
        </w:rPr>
        <w:t xml:space="preserve">, 5RPH Pty Ltd </w:t>
      </w:r>
      <w:r w:rsidRPr="00497003">
        <w:rPr>
          <w:rFonts w:eastAsiaTheme="minorEastAsia"/>
          <w:bCs/>
          <w:sz w:val="24"/>
          <w:szCs w:val="24"/>
        </w:rPr>
        <w:t>ACN 608 798 661</w:t>
      </w:r>
      <w:r w:rsidRPr="00497003">
        <w:rPr>
          <w:sz w:val="24"/>
          <w:szCs w:val="24"/>
        </w:rPr>
        <w:t xml:space="preserve">, Quantum Technology Pty Ltd ACN 001 381 728) </w:t>
      </w:r>
      <w:r w:rsidRPr="00497003">
        <w:rPr>
          <w:sz w:val="24"/>
          <w:szCs w:val="24"/>
          <w:lang w:eastAsia="en-AU"/>
        </w:rPr>
        <w:t>and Vision Australia Foundation (ACN 007 428 284). Vision Australia Foundation is the trustee company for the Vision Australia Trust.</w:t>
      </w:r>
    </w:p>
    <w:p w:rsidR="003A7DB8" w:rsidRPr="00E41AC0" w:rsidRDefault="003A7DB8" w:rsidP="003A7DB8">
      <w:pPr>
        <w:pStyle w:val="BodyText"/>
        <w:spacing w:before="286" w:line="266" w:lineRule="auto"/>
        <w:ind w:right="741"/>
        <w:rPr>
          <w:sz w:val="24"/>
          <w:szCs w:val="24"/>
        </w:rPr>
      </w:pPr>
      <w:r w:rsidRPr="00497003">
        <w:rPr>
          <w:b/>
          <w:bCs/>
          <w:sz w:val="24"/>
          <w:szCs w:val="24"/>
          <w:lang w:eastAsia="en-AU"/>
        </w:rPr>
        <w:t>Workforce:</w:t>
      </w:r>
      <w:r w:rsidRPr="00497003">
        <w:rPr>
          <w:sz w:val="24"/>
          <w:szCs w:val="24"/>
          <w:lang w:eastAsia="en-AU"/>
        </w:rPr>
        <w:t xml:space="preserve"> </w:t>
      </w:r>
      <w:r w:rsidRPr="00497003">
        <w:rPr>
          <w:sz w:val="24"/>
          <w:szCs w:val="24"/>
        </w:rPr>
        <w:t>refers to all employees and volunteers at Vision Australia.</w:t>
      </w:r>
    </w:p>
    <w:p w:rsidR="003A7DB8" w:rsidRPr="005659F0" w:rsidRDefault="003A7DB8" w:rsidP="003A7DB8">
      <w:pPr>
        <w:pStyle w:val="Heading1"/>
      </w:pPr>
      <w:r w:rsidRPr="005659F0">
        <w:t>Document Control</w:t>
      </w:r>
    </w:p>
    <w:p w:rsidR="003A7DB8" w:rsidRDefault="003A7DB8" w:rsidP="003A7DB8">
      <w:pPr>
        <w:pStyle w:val="BodyText"/>
        <w:spacing w:before="286"/>
        <w:rPr>
          <w:sz w:val="24"/>
          <w:szCs w:val="24"/>
        </w:rPr>
      </w:pPr>
      <w:r>
        <w:rPr>
          <w:sz w:val="24"/>
          <w:szCs w:val="24"/>
        </w:rPr>
        <w:t>Created Date: August 2015</w:t>
      </w:r>
    </w:p>
    <w:p w:rsidR="003A7DB8" w:rsidRPr="00E41AC0" w:rsidRDefault="003A7DB8" w:rsidP="003A7DB8">
      <w:pPr>
        <w:pStyle w:val="BodyText"/>
        <w:spacing w:before="286"/>
        <w:rPr>
          <w:sz w:val="24"/>
          <w:szCs w:val="24"/>
        </w:rPr>
      </w:pPr>
      <w:r>
        <w:rPr>
          <w:sz w:val="24"/>
          <w:szCs w:val="24"/>
        </w:rPr>
        <w:t>Last Reviewed</w:t>
      </w:r>
      <w:r w:rsidRPr="00E41AC0">
        <w:rPr>
          <w:sz w:val="24"/>
          <w:szCs w:val="24"/>
        </w:rPr>
        <w:t xml:space="preserve">: </w:t>
      </w:r>
      <w:r>
        <w:rPr>
          <w:sz w:val="24"/>
          <w:szCs w:val="24"/>
        </w:rPr>
        <w:t>December 2021</w:t>
      </w:r>
    </w:p>
    <w:p w:rsidR="003A7DB8" w:rsidRDefault="003A7DB8" w:rsidP="003A7DB8">
      <w:pPr>
        <w:pStyle w:val="BodyText"/>
        <w:spacing w:before="241" w:line="398" w:lineRule="auto"/>
        <w:ind w:right="5566"/>
        <w:rPr>
          <w:sz w:val="24"/>
          <w:szCs w:val="24"/>
        </w:rPr>
      </w:pPr>
      <w:r w:rsidRPr="00E41AC0">
        <w:rPr>
          <w:sz w:val="24"/>
          <w:szCs w:val="24"/>
        </w:rPr>
        <w:t xml:space="preserve">Policy scope: </w:t>
      </w:r>
      <w:r>
        <w:rPr>
          <w:sz w:val="24"/>
          <w:szCs w:val="24"/>
        </w:rPr>
        <w:t>Level 1</w:t>
      </w:r>
    </w:p>
    <w:p w:rsidR="003A7DB8" w:rsidRPr="00E41AC0" w:rsidRDefault="003A7DB8" w:rsidP="003A7DB8">
      <w:pPr>
        <w:pStyle w:val="BodyText"/>
        <w:spacing w:before="120" w:line="398" w:lineRule="auto"/>
        <w:ind w:right="5566"/>
        <w:rPr>
          <w:sz w:val="24"/>
          <w:szCs w:val="24"/>
        </w:rPr>
      </w:pPr>
      <w:r w:rsidRPr="00E41AC0">
        <w:rPr>
          <w:sz w:val="24"/>
          <w:szCs w:val="24"/>
        </w:rPr>
        <w:t xml:space="preserve">Prepared by: </w:t>
      </w:r>
      <w:r>
        <w:rPr>
          <w:sz w:val="24"/>
          <w:szCs w:val="24"/>
        </w:rPr>
        <w:t>E Ratnagobal (Board Secretary)</w:t>
      </w:r>
    </w:p>
    <w:p w:rsidR="003A7DB8" w:rsidRPr="00E41AC0" w:rsidRDefault="003A7DB8" w:rsidP="003A7DB8">
      <w:pPr>
        <w:pStyle w:val="BodyText"/>
        <w:spacing w:before="5"/>
        <w:rPr>
          <w:sz w:val="24"/>
          <w:szCs w:val="24"/>
        </w:rPr>
      </w:pPr>
      <w:r w:rsidRPr="00E41AC0">
        <w:rPr>
          <w:sz w:val="24"/>
          <w:szCs w:val="24"/>
        </w:rPr>
        <w:t xml:space="preserve">Approved by: </w:t>
      </w:r>
      <w:r>
        <w:rPr>
          <w:sz w:val="24"/>
          <w:szCs w:val="24"/>
        </w:rPr>
        <w:t xml:space="preserve">Vision Australia </w:t>
      </w:r>
      <w:r w:rsidRPr="00E41AC0">
        <w:rPr>
          <w:sz w:val="24"/>
          <w:szCs w:val="24"/>
        </w:rPr>
        <w:t>Board</w:t>
      </w:r>
    </w:p>
    <w:p w:rsidR="003A7DB8" w:rsidRPr="00E41AC0" w:rsidRDefault="003A7DB8" w:rsidP="003A7DB8">
      <w:pPr>
        <w:pStyle w:val="BodyText"/>
        <w:spacing w:before="246"/>
        <w:rPr>
          <w:sz w:val="24"/>
          <w:szCs w:val="24"/>
        </w:rPr>
      </w:pPr>
      <w:r w:rsidRPr="00E41AC0">
        <w:rPr>
          <w:sz w:val="24"/>
          <w:szCs w:val="24"/>
        </w:rPr>
        <w:t>Next Review:  December 2022</w:t>
      </w:r>
    </w:p>
    <w:p w:rsidR="003A7DB8" w:rsidRPr="00E41AC0" w:rsidRDefault="003A7DB8" w:rsidP="003A7DB8">
      <w:pPr>
        <w:pStyle w:val="BodyText"/>
        <w:spacing w:before="1"/>
        <w:ind w:left="0"/>
        <w:rPr>
          <w:sz w:val="24"/>
          <w:szCs w:val="24"/>
        </w:rPr>
      </w:pPr>
    </w:p>
    <w:p w:rsidR="003A7DB8" w:rsidRPr="003A7DB8" w:rsidRDefault="003A7DB8" w:rsidP="003A7DB8">
      <w:pPr>
        <w:pStyle w:val="Heading1"/>
        <w:rPr>
          <w:sz w:val="52"/>
        </w:rPr>
      </w:pPr>
      <w:r w:rsidRPr="00E41AC0">
        <w:t>Version Control: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1"/>
        <w:gridCol w:w="1746"/>
        <w:gridCol w:w="1350"/>
        <w:gridCol w:w="1275"/>
        <w:gridCol w:w="1701"/>
        <w:gridCol w:w="2694"/>
      </w:tblGrid>
      <w:tr w:rsidR="003A7DB8" w:rsidRPr="00E41AC0" w:rsidTr="009A1329">
        <w:trPr>
          <w:trHeight w:hRule="exact" w:val="604"/>
        </w:trPr>
        <w:tc>
          <w:tcPr>
            <w:tcW w:w="1751" w:type="dxa"/>
          </w:tcPr>
          <w:p w:rsidR="003A7DB8" w:rsidRPr="007155BB" w:rsidRDefault="003A7DB8" w:rsidP="009A1329">
            <w:pPr>
              <w:pStyle w:val="TableParagraph"/>
              <w:spacing w:line="314" w:lineRule="exact"/>
              <w:rPr>
                <w:b/>
                <w:sz w:val="24"/>
                <w:szCs w:val="24"/>
              </w:rPr>
            </w:pPr>
            <w:r w:rsidRPr="007155BB">
              <w:rPr>
                <w:b/>
                <w:sz w:val="24"/>
                <w:szCs w:val="24"/>
              </w:rPr>
              <w:t>Version</w:t>
            </w:r>
          </w:p>
        </w:tc>
        <w:tc>
          <w:tcPr>
            <w:tcW w:w="1746" w:type="dxa"/>
          </w:tcPr>
          <w:p w:rsidR="003A7DB8" w:rsidRPr="007155BB" w:rsidRDefault="003A7DB8" w:rsidP="009A1329">
            <w:pPr>
              <w:pStyle w:val="TableParagraph"/>
              <w:spacing w:line="314" w:lineRule="exact"/>
              <w:ind w:left="180"/>
              <w:rPr>
                <w:b/>
                <w:sz w:val="24"/>
                <w:szCs w:val="24"/>
              </w:rPr>
            </w:pPr>
            <w:r w:rsidRPr="007155BB">
              <w:rPr>
                <w:b/>
                <w:sz w:val="24"/>
                <w:szCs w:val="24"/>
              </w:rPr>
              <w:t>Prepared by</w:t>
            </w:r>
          </w:p>
        </w:tc>
        <w:tc>
          <w:tcPr>
            <w:tcW w:w="1350" w:type="dxa"/>
          </w:tcPr>
          <w:p w:rsidR="003A7DB8" w:rsidRPr="007155BB" w:rsidRDefault="003A7DB8" w:rsidP="009A1329">
            <w:pPr>
              <w:pStyle w:val="TableParagraph"/>
              <w:spacing w:line="314" w:lineRule="exact"/>
              <w:ind w:left="185"/>
              <w:rPr>
                <w:b/>
                <w:sz w:val="24"/>
                <w:szCs w:val="24"/>
              </w:rPr>
            </w:pPr>
            <w:r w:rsidRPr="007155BB">
              <w:rPr>
                <w:b/>
                <w:sz w:val="24"/>
                <w:szCs w:val="24"/>
              </w:rPr>
              <w:t>Approved By</w:t>
            </w:r>
          </w:p>
        </w:tc>
        <w:tc>
          <w:tcPr>
            <w:tcW w:w="1275" w:type="dxa"/>
          </w:tcPr>
          <w:p w:rsidR="003A7DB8" w:rsidRPr="007155BB" w:rsidRDefault="003A7DB8" w:rsidP="009A1329">
            <w:pPr>
              <w:pStyle w:val="TableParagraph"/>
              <w:spacing w:line="314" w:lineRule="exact"/>
              <w:rPr>
                <w:b/>
                <w:sz w:val="24"/>
                <w:szCs w:val="24"/>
              </w:rPr>
            </w:pPr>
            <w:r w:rsidRPr="007155BB">
              <w:rPr>
                <w:b/>
                <w:sz w:val="24"/>
                <w:szCs w:val="24"/>
              </w:rPr>
              <w:t>Approved Date</w:t>
            </w:r>
          </w:p>
        </w:tc>
        <w:tc>
          <w:tcPr>
            <w:tcW w:w="1701" w:type="dxa"/>
          </w:tcPr>
          <w:p w:rsidR="003A7DB8" w:rsidRPr="007155BB" w:rsidRDefault="003A7DB8" w:rsidP="009A1329">
            <w:pPr>
              <w:rPr>
                <w:b/>
                <w:sz w:val="24"/>
                <w:szCs w:val="24"/>
              </w:rPr>
            </w:pPr>
            <w:r w:rsidRPr="007155BB">
              <w:rPr>
                <w:b/>
                <w:sz w:val="24"/>
                <w:szCs w:val="24"/>
              </w:rPr>
              <w:t>Reason for Changes</w:t>
            </w:r>
          </w:p>
        </w:tc>
        <w:tc>
          <w:tcPr>
            <w:tcW w:w="2694" w:type="dxa"/>
          </w:tcPr>
          <w:p w:rsidR="003A7DB8" w:rsidRPr="007155BB" w:rsidRDefault="003A7DB8" w:rsidP="009A1329">
            <w:pPr>
              <w:rPr>
                <w:b/>
                <w:sz w:val="24"/>
                <w:szCs w:val="24"/>
              </w:rPr>
            </w:pPr>
            <w:r w:rsidRPr="007155BB">
              <w:rPr>
                <w:b/>
                <w:sz w:val="24"/>
                <w:szCs w:val="24"/>
              </w:rPr>
              <w:t>Summary of Changes</w:t>
            </w:r>
          </w:p>
        </w:tc>
      </w:tr>
      <w:tr w:rsidR="003A7DB8" w:rsidRPr="00E41AC0" w:rsidTr="009A1329">
        <w:trPr>
          <w:trHeight w:hRule="exact" w:val="370"/>
        </w:trPr>
        <w:tc>
          <w:tcPr>
            <w:tcW w:w="1751" w:type="dxa"/>
          </w:tcPr>
          <w:p w:rsidR="003A7DB8" w:rsidRPr="00E41AC0" w:rsidRDefault="003A7DB8" w:rsidP="009A1329">
            <w:pPr>
              <w:pStyle w:val="TableParagraph"/>
              <w:spacing w:line="314" w:lineRule="exact"/>
              <w:rPr>
                <w:sz w:val="24"/>
                <w:szCs w:val="24"/>
              </w:rPr>
            </w:pPr>
            <w:r w:rsidRPr="00E41AC0">
              <w:rPr>
                <w:sz w:val="24"/>
                <w:szCs w:val="24"/>
              </w:rPr>
              <w:t>Version 1.0</w:t>
            </w:r>
          </w:p>
        </w:tc>
        <w:tc>
          <w:tcPr>
            <w:tcW w:w="1746" w:type="dxa"/>
          </w:tcPr>
          <w:p w:rsidR="003A7DB8" w:rsidRPr="00E41AC0" w:rsidRDefault="003A7DB8" w:rsidP="009A1329">
            <w:pPr>
              <w:pStyle w:val="TableParagraph"/>
              <w:spacing w:line="314" w:lineRule="exact"/>
              <w:ind w:left="180"/>
              <w:rPr>
                <w:sz w:val="24"/>
                <w:szCs w:val="24"/>
              </w:rPr>
            </w:pPr>
            <w:r w:rsidRPr="00E41AC0">
              <w:rPr>
                <w:sz w:val="24"/>
                <w:szCs w:val="24"/>
              </w:rPr>
              <w:t>Z Lawless</w:t>
            </w:r>
          </w:p>
        </w:tc>
        <w:tc>
          <w:tcPr>
            <w:tcW w:w="1350" w:type="dxa"/>
          </w:tcPr>
          <w:p w:rsidR="003A7DB8" w:rsidRPr="00E41AC0" w:rsidRDefault="003A7DB8" w:rsidP="009A1329">
            <w:pPr>
              <w:pStyle w:val="TableParagraph"/>
              <w:spacing w:line="314" w:lineRule="exact"/>
              <w:ind w:left="185"/>
              <w:rPr>
                <w:sz w:val="24"/>
                <w:szCs w:val="24"/>
              </w:rPr>
            </w:pPr>
            <w:r w:rsidRPr="00E41AC0">
              <w:rPr>
                <w:sz w:val="24"/>
                <w:szCs w:val="24"/>
              </w:rPr>
              <w:t>Board</w:t>
            </w:r>
          </w:p>
        </w:tc>
        <w:tc>
          <w:tcPr>
            <w:tcW w:w="1275" w:type="dxa"/>
          </w:tcPr>
          <w:p w:rsidR="003A7DB8" w:rsidRPr="00E41AC0" w:rsidRDefault="003A7DB8" w:rsidP="009A1329">
            <w:pPr>
              <w:pStyle w:val="TableParagraph"/>
              <w:spacing w:line="314" w:lineRule="exact"/>
              <w:rPr>
                <w:sz w:val="24"/>
                <w:szCs w:val="24"/>
              </w:rPr>
            </w:pPr>
            <w:r w:rsidRPr="00E41AC0">
              <w:rPr>
                <w:sz w:val="24"/>
                <w:szCs w:val="24"/>
              </w:rPr>
              <w:t>Aug 2015</w:t>
            </w:r>
          </w:p>
        </w:tc>
        <w:tc>
          <w:tcPr>
            <w:tcW w:w="1701" w:type="dxa"/>
          </w:tcPr>
          <w:p w:rsidR="003A7DB8" w:rsidRPr="00E41AC0" w:rsidRDefault="003A7DB8" w:rsidP="009A1329">
            <w:pPr>
              <w:rPr>
                <w:sz w:val="24"/>
                <w:szCs w:val="24"/>
              </w:rPr>
            </w:pPr>
          </w:p>
        </w:tc>
        <w:tc>
          <w:tcPr>
            <w:tcW w:w="2694" w:type="dxa"/>
          </w:tcPr>
          <w:p w:rsidR="003A7DB8" w:rsidRPr="00E41AC0" w:rsidRDefault="003A7DB8" w:rsidP="009A1329">
            <w:pPr>
              <w:rPr>
                <w:sz w:val="24"/>
                <w:szCs w:val="24"/>
              </w:rPr>
            </w:pPr>
          </w:p>
        </w:tc>
      </w:tr>
      <w:tr w:rsidR="003A7DB8" w:rsidRPr="00E41AC0" w:rsidTr="009A1329">
        <w:trPr>
          <w:trHeight w:hRule="exact" w:val="1346"/>
        </w:trPr>
        <w:tc>
          <w:tcPr>
            <w:tcW w:w="1751" w:type="dxa"/>
          </w:tcPr>
          <w:p w:rsidR="003A7DB8" w:rsidRPr="00E41AC0" w:rsidRDefault="003A7DB8" w:rsidP="009A1329">
            <w:pPr>
              <w:pStyle w:val="TableParagraph"/>
              <w:spacing w:line="309" w:lineRule="exact"/>
              <w:ind w:left="185"/>
              <w:rPr>
                <w:sz w:val="24"/>
                <w:szCs w:val="24"/>
              </w:rPr>
            </w:pPr>
            <w:r w:rsidRPr="00E41AC0">
              <w:rPr>
                <w:sz w:val="24"/>
                <w:szCs w:val="24"/>
              </w:rPr>
              <w:t>Version 1.1</w:t>
            </w:r>
          </w:p>
        </w:tc>
        <w:tc>
          <w:tcPr>
            <w:tcW w:w="1746" w:type="dxa"/>
          </w:tcPr>
          <w:p w:rsidR="003A7DB8" w:rsidRPr="00E41AC0" w:rsidRDefault="003A7DB8" w:rsidP="009A1329">
            <w:pPr>
              <w:pStyle w:val="TableParagraph"/>
              <w:spacing w:line="309" w:lineRule="exact"/>
              <w:ind w:left="180"/>
              <w:rPr>
                <w:sz w:val="24"/>
                <w:szCs w:val="24"/>
              </w:rPr>
            </w:pPr>
            <w:r w:rsidRPr="00E41AC0">
              <w:rPr>
                <w:sz w:val="24"/>
                <w:szCs w:val="24"/>
              </w:rPr>
              <w:t>G Fox</w:t>
            </w:r>
          </w:p>
        </w:tc>
        <w:tc>
          <w:tcPr>
            <w:tcW w:w="1350" w:type="dxa"/>
          </w:tcPr>
          <w:p w:rsidR="003A7DB8" w:rsidRPr="00E41AC0" w:rsidRDefault="003A7DB8" w:rsidP="009A1329">
            <w:pPr>
              <w:pStyle w:val="TableParagraph"/>
              <w:spacing w:line="309" w:lineRule="exact"/>
              <w:ind w:left="185"/>
              <w:rPr>
                <w:sz w:val="24"/>
                <w:szCs w:val="24"/>
              </w:rPr>
            </w:pPr>
            <w:r w:rsidRPr="00E41AC0">
              <w:rPr>
                <w:sz w:val="24"/>
                <w:szCs w:val="24"/>
              </w:rPr>
              <w:t>Board</w:t>
            </w:r>
          </w:p>
        </w:tc>
        <w:tc>
          <w:tcPr>
            <w:tcW w:w="1275" w:type="dxa"/>
          </w:tcPr>
          <w:p w:rsidR="003A7DB8" w:rsidRPr="00E41AC0" w:rsidRDefault="003A7DB8" w:rsidP="009A1329">
            <w:pPr>
              <w:pStyle w:val="TableParagraph"/>
              <w:spacing w:line="309" w:lineRule="exact"/>
              <w:rPr>
                <w:sz w:val="24"/>
                <w:szCs w:val="24"/>
              </w:rPr>
            </w:pPr>
            <w:r w:rsidRPr="00E41AC0">
              <w:rPr>
                <w:sz w:val="24"/>
                <w:szCs w:val="24"/>
              </w:rPr>
              <w:t>Dec 19</w:t>
            </w:r>
          </w:p>
        </w:tc>
        <w:tc>
          <w:tcPr>
            <w:tcW w:w="1701" w:type="dxa"/>
          </w:tcPr>
          <w:p w:rsidR="003A7DB8" w:rsidRPr="00E41AC0" w:rsidRDefault="003A7DB8" w:rsidP="009A1329">
            <w:pPr>
              <w:pStyle w:val="TableParagraph"/>
              <w:spacing w:line="232" w:lineRule="auto"/>
              <w:ind w:left="0"/>
              <w:rPr>
                <w:sz w:val="24"/>
                <w:szCs w:val="24"/>
              </w:rPr>
            </w:pPr>
            <w:r w:rsidRPr="00E41AC0">
              <w:rPr>
                <w:sz w:val="24"/>
                <w:szCs w:val="24"/>
              </w:rPr>
              <w:t>Periodic review no significant changes made</w:t>
            </w:r>
          </w:p>
        </w:tc>
        <w:tc>
          <w:tcPr>
            <w:tcW w:w="2694" w:type="dxa"/>
          </w:tcPr>
          <w:p w:rsidR="003A7DB8" w:rsidRPr="00E41AC0" w:rsidRDefault="003A7DB8" w:rsidP="009A1329">
            <w:pPr>
              <w:pStyle w:val="TableParagraph"/>
              <w:spacing w:line="232" w:lineRule="auto"/>
              <w:ind w:right="262"/>
              <w:rPr>
                <w:sz w:val="24"/>
                <w:szCs w:val="24"/>
              </w:rPr>
            </w:pPr>
            <w:r w:rsidRPr="00E41AC0">
              <w:rPr>
                <w:sz w:val="24"/>
                <w:szCs w:val="24"/>
              </w:rPr>
              <w:t>Policy transferred to new template</w:t>
            </w:r>
          </w:p>
        </w:tc>
      </w:tr>
      <w:tr w:rsidR="003A7DB8" w:rsidRPr="00E41AC0" w:rsidTr="009A1329">
        <w:trPr>
          <w:trHeight w:hRule="exact" w:val="632"/>
        </w:trPr>
        <w:tc>
          <w:tcPr>
            <w:tcW w:w="1751" w:type="dxa"/>
          </w:tcPr>
          <w:p w:rsidR="003A7DB8" w:rsidRPr="00E41AC0" w:rsidRDefault="003A7DB8" w:rsidP="009A1329">
            <w:pPr>
              <w:pStyle w:val="TableParagraph"/>
              <w:spacing w:line="309" w:lineRule="exact"/>
              <w:ind w:left="185"/>
              <w:rPr>
                <w:sz w:val="24"/>
                <w:szCs w:val="24"/>
              </w:rPr>
            </w:pPr>
            <w:r w:rsidRPr="00E41AC0">
              <w:rPr>
                <w:sz w:val="24"/>
                <w:szCs w:val="24"/>
              </w:rPr>
              <w:t>Version 1.2</w:t>
            </w:r>
          </w:p>
        </w:tc>
        <w:tc>
          <w:tcPr>
            <w:tcW w:w="1746" w:type="dxa"/>
          </w:tcPr>
          <w:p w:rsidR="003A7DB8" w:rsidRPr="00E41AC0" w:rsidRDefault="003A7DB8" w:rsidP="009A1329">
            <w:pPr>
              <w:pStyle w:val="TableParagraph"/>
              <w:spacing w:line="309" w:lineRule="exact"/>
              <w:ind w:left="180"/>
              <w:rPr>
                <w:sz w:val="24"/>
                <w:szCs w:val="24"/>
              </w:rPr>
            </w:pPr>
            <w:r w:rsidRPr="00E41AC0">
              <w:rPr>
                <w:sz w:val="24"/>
                <w:szCs w:val="24"/>
              </w:rPr>
              <w:t>G Fox</w:t>
            </w:r>
          </w:p>
        </w:tc>
        <w:tc>
          <w:tcPr>
            <w:tcW w:w="1350" w:type="dxa"/>
          </w:tcPr>
          <w:p w:rsidR="003A7DB8" w:rsidRPr="00E41AC0" w:rsidRDefault="003A7DB8" w:rsidP="009A1329">
            <w:pPr>
              <w:pStyle w:val="TableParagraph"/>
              <w:spacing w:line="309" w:lineRule="exact"/>
              <w:ind w:left="185"/>
              <w:rPr>
                <w:sz w:val="24"/>
                <w:szCs w:val="24"/>
              </w:rPr>
            </w:pPr>
            <w:r w:rsidRPr="00E41AC0">
              <w:rPr>
                <w:sz w:val="24"/>
                <w:szCs w:val="24"/>
              </w:rPr>
              <w:t>Board</w:t>
            </w:r>
          </w:p>
        </w:tc>
        <w:tc>
          <w:tcPr>
            <w:tcW w:w="1275" w:type="dxa"/>
          </w:tcPr>
          <w:p w:rsidR="003A7DB8" w:rsidRPr="00E41AC0" w:rsidRDefault="003A7DB8" w:rsidP="009A1329">
            <w:pPr>
              <w:pStyle w:val="TableParagraph"/>
              <w:spacing w:line="309" w:lineRule="exact"/>
              <w:rPr>
                <w:sz w:val="24"/>
                <w:szCs w:val="24"/>
              </w:rPr>
            </w:pPr>
            <w:r w:rsidRPr="00E41AC0">
              <w:rPr>
                <w:sz w:val="24"/>
                <w:szCs w:val="24"/>
              </w:rPr>
              <w:t>Dec 20</w:t>
            </w:r>
          </w:p>
        </w:tc>
        <w:tc>
          <w:tcPr>
            <w:tcW w:w="1701" w:type="dxa"/>
          </w:tcPr>
          <w:p w:rsidR="003A7DB8" w:rsidRPr="00E41AC0" w:rsidRDefault="003A7DB8" w:rsidP="009A1329">
            <w:pPr>
              <w:pStyle w:val="TableParagraph"/>
              <w:spacing w:line="232" w:lineRule="auto"/>
              <w:ind w:firstLine="79"/>
              <w:rPr>
                <w:sz w:val="24"/>
                <w:szCs w:val="24"/>
              </w:rPr>
            </w:pPr>
          </w:p>
        </w:tc>
        <w:tc>
          <w:tcPr>
            <w:tcW w:w="2694" w:type="dxa"/>
          </w:tcPr>
          <w:p w:rsidR="003A7DB8" w:rsidRPr="00E41AC0" w:rsidRDefault="003A7DB8" w:rsidP="009A1329">
            <w:pPr>
              <w:pStyle w:val="TableParagraph"/>
              <w:spacing w:line="232" w:lineRule="auto"/>
              <w:ind w:right="262"/>
              <w:rPr>
                <w:sz w:val="24"/>
                <w:szCs w:val="24"/>
              </w:rPr>
            </w:pPr>
          </w:p>
        </w:tc>
      </w:tr>
      <w:tr w:rsidR="003A7DB8" w:rsidRPr="00E41AC0" w:rsidTr="009A1329">
        <w:trPr>
          <w:trHeight w:hRule="exact" w:val="2391"/>
        </w:trPr>
        <w:tc>
          <w:tcPr>
            <w:tcW w:w="1751" w:type="dxa"/>
          </w:tcPr>
          <w:p w:rsidR="003A7DB8" w:rsidRPr="00E41AC0" w:rsidRDefault="003A7DB8" w:rsidP="009A1329">
            <w:pPr>
              <w:pStyle w:val="TableParagraph"/>
              <w:spacing w:line="309" w:lineRule="exact"/>
              <w:ind w:left="185"/>
              <w:rPr>
                <w:sz w:val="24"/>
                <w:szCs w:val="24"/>
              </w:rPr>
            </w:pPr>
            <w:r w:rsidRPr="00E41AC0">
              <w:rPr>
                <w:sz w:val="24"/>
                <w:szCs w:val="24"/>
              </w:rPr>
              <w:t>Version 2.0</w:t>
            </w:r>
          </w:p>
        </w:tc>
        <w:tc>
          <w:tcPr>
            <w:tcW w:w="1746" w:type="dxa"/>
          </w:tcPr>
          <w:p w:rsidR="003A7DB8" w:rsidRPr="00E41AC0" w:rsidRDefault="003A7DB8" w:rsidP="009A1329">
            <w:pPr>
              <w:pStyle w:val="TableParagraph"/>
              <w:spacing w:line="309" w:lineRule="exact"/>
              <w:ind w:left="180"/>
              <w:rPr>
                <w:sz w:val="24"/>
                <w:szCs w:val="24"/>
              </w:rPr>
            </w:pPr>
            <w:r w:rsidRPr="00E41AC0">
              <w:rPr>
                <w:sz w:val="24"/>
                <w:szCs w:val="24"/>
              </w:rPr>
              <w:t>E Ratnagobal</w:t>
            </w:r>
            <w:r>
              <w:rPr>
                <w:sz w:val="24"/>
                <w:szCs w:val="24"/>
              </w:rPr>
              <w:t xml:space="preserve"> and Compliance</w:t>
            </w:r>
          </w:p>
        </w:tc>
        <w:tc>
          <w:tcPr>
            <w:tcW w:w="1350" w:type="dxa"/>
          </w:tcPr>
          <w:p w:rsidR="003A7DB8" w:rsidRPr="00E41AC0" w:rsidRDefault="003A7DB8" w:rsidP="009A1329">
            <w:pPr>
              <w:pStyle w:val="TableParagraph"/>
              <w:spacing w:line="309" w:lineRule="exact"/>
              <w:ind w:left="185"/>
              <w:rPr>
                <w:sz w:val="24"/>
                <w:szCs w:val="24"/>
              </w:rPr>
            </w:pPr>
            <w:r w:rsidRPr="00E41AC0">
              <w:rPr>
                <w:sz w:val="24"/>
                <w:szCs w:val="24"/>
              </w:rPr>
              <w:t xml:space="preserve">Board </w:t>
            </w:r>
          </w:p>
        </w:tc>
        <w:tc>
          <w:tcPr>
            <w:tcW w:w="1275" w:type="dxa"/>
          </w:tcPr>
          <w:p w:rsidR="003A7DB8" w:rsidRPr="00E41AC0" w:rsidRDefault="003A7DB8" w:rsidP="009A1329">
            <w:pPr>
              <w:pStyle w:val="TableParagraph"/>
              <w:spacing w:line="309" w:lineRule="exact"/>
              <w:rPr>
                <w:sz w:val="24"/>
                <w:szCs w:val="24"/>
              </w:rPr>
            </w:pPr>
            <w:r w:rsidRPr="00E41AC0">
              <w:rPr>
                <w:sz w:val="24"/>
                <w:szCs w:val="24"/>
              </w:rPr>
              <w:t>December 2021</w:t>
            </w:r>
          </w:p>
        </w:tc>
        <w:tc>
          <w:tcPr>
            <w:tcW w:w="1701" w:type="dxa"/>
          </w:tcPr>
          <w:p w:rsidR="003A7DB8" w:rsidRPr="00E41AC0" w:rsidRDefault="003A7DB8" w:rsidP="009A1329">
            <w:pPr>
              <w:pStyle w:val="TableParagraph"/>
              <w:spacing w:line="232" w:lineRule="auto"/>
              <w:rPr>
                <w:sz w:val="24"/>
                <w:szCs w:val="24"/>
              </w:rPr>
            </w:pPr>
            <w:r w:rsidRPr="00E41AC0">
              <w:rPr>
                <w:sz w:val="24"/>
                <w:szCs w:val="24"/>
              </w:rPr>
              <w:t>Updated to include the workforce</w:t>
            </w:r>
          </w:p>
        </w:tc>
        <w:tc>
          <w:tcPr>
            <w:tcW w:w="2694" w:type="dxa"/>
          </w:tcPr>
          <w:p w:rsidR="003A7DB8" w:rsidRPr="00E41AC0" w:rsidRDefault="003A7DB8" w:rsidP="009A1329">
            <w:pPr>
              <w:pStyle w:val="TableParagraph"/>
              <w:spacing w:line="232" w:lineRule="auto"/>
              <w:ind w:right="262"/>
              <w:rPr>
                <w:sz w:val="24"/>
                <w:szCs w:val="24"/>
              </w:rPr>
            </w:pPr>
            <w:r w:rsidRPr="00E41AC0">
              <w:rPr>
                <w:sz w:val="24"/>
                <w:szCs w:val="24"/>
              </w:rPr>
              <w:t>Broadened definitions and added guidance</w:t>
            </w:r>
            <w:r>
              <w:rPr>
                <w:sz w:val="24"/>
                <w:szCs w:val="24"/>
              </w:rPr>
              <w:t>. Change of name from ‘Directors’ Disclosure of Interests Policy and Policy for Handling Conflicts of Interest’</w:t>
            </w:r>
          </w:p>
        </w:tc>
      </w:tr>
    </w:tbl>
    <w:p w:rsidR="003A7DB8" w:rsidRPr="003A7DB8" w:rsidRDefault="003A7DB8" w:rsidP="003A7DB8">
      <w:pPr>
        <w:pStyle w:val="Heading2"/>
        <w:rPr>
          <w:sz w:val="28"/>
        </w:rPr>
      </w:pPr>
      <w:r w:rsidRPr="003A7DB8">
        <w:rPr>
          <w:sz w:val="28"/>
        </w:rPr>
        <w:t>END</w:t>
      </w:r>
      <w:bookmarkStart w:id="10" w:name="Document_Control"/>
      <w:bookmarkEnd w:id="10"/>
    </w:p>
    <w:p w:rsidR="003A7DB8" w:rsidRDefault="003A7DB8" w:rsidP="003A7DB8">
      <w:pPr>
        <w:pStyle w:val="Heading1"/>
      </w:pPr>
    </w:p>
    <w:p w:rsidR="003A7DB8" w:rsidRDefault="003A7DB8" w:rsidP="003A7DB8">
      <w:pPr>
        <w:pStyle w:val="Heading1"/>
      </w:pPr>
    </w:p>
    <w:sectPr w:rsidR="003A7DB8" w:rsidSect="009F4046">
      <w:footerReference w:type="default" r:id="rId11"/>
      <w:headerReference w:type="first" r:id="rId12"/>
      <w:footerReference w:type="first" r:id="rId13"/>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1A5" w:rsidRDefault="004631A5" w:rsidP="00616621">
      <w:pPr>
        <w:spacing w:after="0" w:line="240" w:lineRule="auto"/>
      </w:pPr>
      <w:r>
        <w:separator/>
      </w:r>
    </w:p>
  </w:endnote>
  <w:endnote w:type="continuationSeparator" w:id="0">
    <w:p w:rsidR="004631A5" w:rsidRDefault="004631A5"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309874043"/>
      <w:docPartObj>
        <w:docPartGallery w:val="Page Numbers (Bottom of Page)"/>
        <w:docPartUnique/>
      </w:docPartObj>
    </w:sdtPr>
    <w:sdtEndPr>
      <w:rPr>
        <w:noProof/>
      </w:rPr>
    </w:sdtEndPr>
    <w:sdtContent>
      <w:p w:rsidR="00700D3D" w:rsidRPr="00BF2354" w:rsidRDefault="00BF2354">
        <w:pPr>
          <w:pStyle w:val="Footer"/>
          <w:rPr>
            <w:sz w:val="22"/>
          </w:rPr>
        </w:pPr>
        <w:r w:rsidRPr="00BF2354">
          <w:rPr>
            <w:noProof/>
            <w:sz w:val="22"/>
          </w:rPr>
          <w:t>Directors’ Disclosure of Interests Policy and Policy for Handlling conflicts of Inter</w:t>
        </w:r>
        <w:r>
          <w:rPr>
            <w:noProof/>
            <w:sz w:val="22"/>
          </w:rPr>
          <w:t>est</w:t>
        </w:r>
        <w:r w:rsidRPr="00BF2354">
          <w:rPr>
            <w:noProof/>
            <w:sz w:val="22"/>
          </w:rPr>
          <w:tab/>
        </w:r>
        <w:r>
          <w:rPr>
            <w:sz w:val="22"/>
          </w:rPr>
          <w:t xml:space="preserve">Page </w:t>
        </w:r>
        <w:r w:rsidRPr="00BF2354">
          <w:rPr>
            <w:sz w:val="22"/>
          </w:rPr>
          <w:fldChar w:fldCharType="begin"/>
        </w:r>
        <w:r w:rsidRPr="00BF2354">
          <w:rPr>
            <w:sz w:val="22"/>
          </w:rPr>
          <w:instrText xml:space="preserve"> PAGE   \* MERGEFORMAT </w:instrText>
        </w:r>
        <w:r w:rsidRPr="00BF2354">
          <w:rPr>
            <w:sz w:val="22"/>
          </w:rPr>
          <w:fldChar w:fldCharType="separate"/>
        </w:r>
        <w:r w:rsidR="00D77A67">
          <w:rPr>
            <w:noProof/>
            <w:sz w:val="22"/>
          </w:rPr>
          <w:t>7</w:t>
        </w:r>
        <w:r w:rsidRPr="00BF2354">
          <w:rPr>
            <w:noProof/>
            <w:sz w:val="22"/>
          </w:rPr>
          <w:fldChar w:fldCharType="end"/>
        </w:r>
        <w:r>
          <w:rPr>
            <w:noProof/>
            <w:sz w:val="22"/>
          </w:rPr>
          <w:t xml:space="preserve"> of 5</w:t>
        </w:r>
      </w:p>
    </w:sdtContent>
  </w:sdt>
  <w:p w:rsidR="00BF2354" w:rsidRDefault="00BF23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444110798"/>
      <w:docPartObj>
        <w:docPartGallery w:val="Page Numbers (Bottom of Page)"/>
        <w:docPartUnique/>
      </w:docPartObj>
    </w:sdtPr>
    <w:sdtEndPr>
      <w:rPr>
        <w:noProof/>
      </w:rPr>
    </w:sdtEndPr>
    <w:sdtContent>
      <w:p w:rsidR="00BF2354" w:rsidRDefault="00BF2354" w:rsidP="00BF2354">
        <w:pPr>
          <w:pStyle w:val="Footer"/>
          <w:rPr>
            <w:noProof/>
            <w:sz w:val="22"/>
          </w:rPr>
        </w:pPr>
        <w:r w:rsidRPr="00BF2354">
          <w:rPr>
            <w:noProof/>
            <w:sz w:val="22"/>
          </w:rPr>
          <w:t>Directors’ Disclosure of Interests Policy and Policy for Handlling conflicts of Inter</w:t>
        </w:r>
        <w:r>
          <w:rPr>
            <w:noProof/>
            <w:sz w:val="22"/>
          </w:rPr>
          <w:t>est</w:t>
        </w:r>
        <w:r w:rsidRPr="00BF2354">
          <w:rPr>
            <w:noProof/>
            <w:sz w:val="22"/>
          </w:rPr>
          <w:tab/>
        </w:r>
        <w:r w:rsidRPr="00BF2354">
          <w:rPr>
            <w:sz w:val="22"/>
          </w:rPr>
          <w:t xml:space="preserve">Page </w:t>
        </w:r>
        <w:r w:rsidRPr="00BF2354">
          <w:rPr>
            <w:sz w:val="22"/>
          </w:rPr>
          <w:fldChar w:fldCharType="begin"/>
        </w:r>
        <w:r w:rsidRPr="00BF2354">
          <w:rPr>
            <w:sz w:val="22"/>
          </w:rPr>
          <w:instrText xml:space="preserve"> PAGE   \* MERGEFORMAT </w:instrText>
        </w:r>
        <w:r w:rsidRPr="00BF2354">
          <w:rPr>
            <w:sz w:val="22"/>
          </w:rPr>
          <w:fldChar w:fldCharType="separate"/>
        </w:r>
        <w:r w:rsidR="00D77A67">
          <w:rPr>
            <w:noProof/>
            <w:sz w:val="22"/>
          </w:rPr>
          <w:t>1</w:t>
        </w:r>
        <w:r w:rsidRPr="00BF2354">
          <w:rPr>
            <w:noProof/>
            <w:sz w:val="22"/>
          </w:rPr>
          <w:fldChar w:fldCharType="end"/>
        </w:r>
        <w:r>
          <w:rPr>
            <w:noProof/>
            <w:sz w:val="22"/>
          </w:rPr>
          <w:t xml:space="preserve"> of 5</w:t>
        </w:r>
      </w:p>
    </w:sdtContent>
  </w:sdt>
  <w:p w:rsidR="00BF2354" w:rsidRDefault="00BF2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1A5" w:rsidRDefault="004631A5" w:rsidP="00616621">
      <w:pPr>
        <w:spacing w:after="0" w:line="240" w:lineRule="auto"/>
      </w:pPr>
      <w:r>
        <w:separator/>
      </w:r>
    </w:p>
  </w:footnote>
  <w:footnote w:type="continuationSeparator" w:id="0">
    <w:p w:rsidR="004631A5" w:rsidRDefault="004631A5"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2D" w:rsidRDefault="0059532D">
    <w:pPr>
      <w:pStyle w:val="Header"/>
    </w:pPr>
  </w:p>
  <w:p w:rsidR="0059532D" w:rsidRDefault="0059532D">
    <w:pPr>
      <w:pStyle w:val="Header"/>
    </w:pPr>
    <w:r>
      <w:rPr>
        <w:noProof/>
        <w:lang w:eastAsia="en-AU"/>
      </w:rPr>
      <w:drawing>
        <wp:inline distT="0" distB="0" distL="0" distR="0" wp14:anchorId="50EA4704" wp14:editId="46B349D5">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B68CD"/>
    <w:multiLevelType w:val="hybridMultilevel"/>
    <w:tmpl w:val="C8EE0DF6"/>
    <w:lvl w:ilvl="0" w:tplc="FC3C1BD0">
      <w:numFmt w:val="bullet"/>
      <w:lvlText w:val=""/>
      <w:lvlJc w:val="left"/>
      <w:pPr>
        <w:ind w:left="470" w:hanging="360"/>
      </w:pPr>
      <w:rPr>
        <w:rFonts w:ascii="Symbol" w:eastAsia="Symbol" w:hAnsi="Symbol" w:cs="Symbol" w:hint="default"/>
        <w:w w:val="100"/>
        <w:sz w:val="32"/>
        <w:szCs w:val="32"/>
      </w:rPr>
    </w:lvl>
    <w:lvl w:ilvl="1" w:tplc="6CFEAC4A">
      <w:start w:val="1"/>
      <w:numFmt w:val="decimal"/>
      <w:lvlText w:val="%2."/>
      <w:lvlJc w:val="left"/>
      <w:pPr>
        <w:ind w:left="830" w:hanging="360"/>
      </w:pPr>
      <w:rPr>
        <w:rFonts w:ascii="Arial" w:eastAsia="Arial" w:hAnsi="Arial" w:cs="Arial" w:hint="default"/>
        <w:spacing w:val="0"/>
        <w:w w:val="100"/>
        <w:sz w:val="32"/>
        <w:szCs w:val="32"/>
      </w:rPr>
    </w:lvl>
    <w:lvl w:ilvl="2" w:tplc="0E30C1C4">
      <w:start w:val="1"/>
      <w:numFmt w:val="lowerLetter"/>
      <w:lvlText w:val="%3."/>
      <w:lvlJc w:val="left"/>
      <w:pPr>
        <w:ind w:left="1551" w:hanging="360"/>
      </w:pPr>
      <w:rPr>
        <w:rFonts w:ascii="Arial" w:eastAsia="Arial" w:hAnsi="Arial" w:cs="Arial" w:hint="default"/>
        <w:spacing w:val="0"/>
        <w:w w:val="100"/>
        <w:sz w:val="24"/>
        <w:szCs w:val="24"/>
      </w:rPr>
    </w:lvl>
    <w:lvl w:ilvl="3" w:tplc="031C9534">
      <w:numFmt w:val="bullet"/>
      <w:lvlText w:val="•"/>
      <w:lvlJc w:val="left"/>
      <w:pPr>
        <w:ind w:left="2695" w:hanging="360"/>
      </w:pPr>
      <w:rPr>
        <w:rFonts w:hint="default"/>
      </w:rPr>
    </w:lvl>
    <w:lvl w:ilvl="4" w:tplc="72D828C6">
      <w:numFmt w:val="bullet"/>
      <w:lvlText w:val="•"/>
      <w:lvlJc w:val="left"/>
      <w:pPr>
        <w:ind w:left="3831" w:hanging="360"/>
      </w:pPr>
      <w:rPr>
        <w:rFonts w:hint="default"/>
      </w:rPr>
    </w:lvl>
    <w:lvl w:ilvl="5" w:tplc="C0ECA6CC">
      <w:numFmt w:val="bullet"/>
      <w:lvlText w:val="•"/>
      <w:lvlJc w:val="left"/>
      <w:pPr>
        <w:ind w:left="4966" w:hanging="360"/>
      </w:pPr>
      <w:rPr>
        <w:rFonts w:hint="default"/>
      </w:rPr>
    </w:lvl>
    <w:lvl w:ilvl="6" w:tplc="6AB8B3DA">
      <w:numFmt w:val="bullet"/>
      <w:lvlText w:val="•"/>
      <w:lvlJc w:val="left"/>
      <w:pPr>
        <w:ind w:left="6102" w:hanging="360"/>
      </w:pPr>
      <w:rPr>
        <w:rFonts w:hint="default"/>
      </w:rPr>
    </w:lvl>
    <w:lvl w:ilvl="7" w:tplc="24A4F7C6">
      <w:numFmt w:val="bullet"/>
      <w:lvlText w:val="•"/>
      <w:lvlJc w:val="left"/>
      <w:pPr>
        <w:ind w:left="7238" w:hanging="360"/>
      </w:pPr>
      <w:rPr>
        <w:rFonts w:hint="default"/>
      </w:rPr>
    </w:lvl>
    <w:lvl w:ilvl="8" w:tplc="281E4940">
      <w:numFmt w:val="bullet"/>
      <w:lvlText w:val="•"/>
      <w:lvlJc w:val="left"/>
      <w:pPr>
        <w:ind w:left="8373" w:hanging="360"/>
      </w:pPr>
      <w:rPr>
        <w:rFonts w:hint="default"/>
      </w:rPr>
    </w:lvl>
  </w:abstractNum>
  <w:abstractNum w:abstractNumId="2" w15:restartNumberingAfterBreak="0">
    <w:nsid w:val="0B641BA6"/>
    <w:multiLevelType w:val="hybridMultilevel"/>
    <w:tmpl w:val="D342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3752B"/>
    <w:multiLevelType w:val="hybridMultilevel"/>
    <w:tmpl w:val="874A8AD0"/>
    <w:lvl w:ilvl="0" w:tplc="0C090017">
      <w:start w:val="1"/>
      <w:numFmt w:val="lowerLetter"/>
      <w:lvlText w:val="%1)"/>
      <w:lvlJc w:val="left"/>
      <w:pPr>
        <w:ind w:left="1260" w:hanging="360"/>
      </w:pPr>
      <w:rPr>
        <w:rFont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C3164"/>
    <w:multiLevelType w:val="hybridMultilevel"/>
    <w:tmpl w:val="22CE82C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 w15:restartNumberingAfterBreak="0">
    <w:nsid w:val="27DD78ED"/>
    <w:multiLevelType w:val="hybridMultilevel"/>
    <w:tmpl w:val="F4A02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2A9A1A9E"/>
    <w:multiLevelType w:val="hybridMultilevel"/>
    <w:tmpl w:val="6CE27F24"/>
    <w:lvl w:ilvl="0" w:tplc="5A34FF6A">
      <w:start w:val="1"/>
      <w:numFmt w:val="decimal"/>
      <w:lvlText w:val="%1."/>
      <w:lvlJc w:val="left"/>
      <w:pPr>
        <w:ind w:left="785" w:hanging="360"/>
      </w:pPr>
      <w:rPr>
        <w:rFonts w:hint="default"/>
      </w:rPr>
    </w:lvl>
    <w:lvl w:ilvl="1" w:tplc="EFA2DD86">
      <w:start w:val="1"/>
      <w:numFmt w:val="lowerLetter"/>
      <w:lvlText w:val="%2."/>
      <w:lvlJc w:val="left"/>
      <w:pPr>
        <w:ind w:left="1190" w:hanging="360"/>
      </w:pPr>
      <w:rPr>
        <w:sz w:val="36"/>
        <w:szCs w:val="36"/>
      </w:r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11"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D29BC"/>
    <w:multiLevelType w:val="hybridMultilevel"/>
    <w:tmpl w:val="9718F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890D3A"/>
    <w:multiLevelType w:val="hybridMultilevel"/>
    <w:tmpl w:val="5992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6B426F"/>
    <w:multiLevelType w:val="hybridMultilevel"/>
    <w:tmpl w:val="BA78167E"/>
    <w:lvl w:ilvl="0" w:tplc="0C090019">
      <w:start w:val="1"/>
      <w:numFmt w:val="lowerLetter"/>
      <w:lvlText w:val="%1."/>
      <w:lvlJc w:val="left"/>
      <w:pPr>
        <w:ind w:left="1190" w:hanging="360"/>
      </w:pPr>
    </w:lvl>
    <w:lvl w:ilvl="1" w:tplc="0C090019" w:tentative="1">
      <w:start w:val="1"/>
      <w:numFmt w:val="lowerLetter"/>
      <w:lvlText w:val="%2."/>
      <w:lvlJc w:val="left"/>
      <w:pPr>
        <w:ind w:left="1910" w:hanging="360"/>
      </w:pPr>
    </w:lvl>
    <w:lvl w:ilvl="2" w:tplc="0C09001B" w:tentative="1">
      <w:start w:val="1"/>
      <w:numFmt w:val="lowerRoman"/>
      <w:lvlText w:val="%3."/>
      <w:lvlJc w:val="right"/>
      <w:pPr>
        <w:ind w:left="2630" w:hanging="180"/>
      </w:pPr>
    </w:lvl>
    <w:lvl w:ilvl="3" w:tplc="0C09000F" w:tentative="1">
      <w:start w:val="1"/>
      <w:numFmt w:val="decimal"/>
      <w:lvlText w:val="%4."/>
      <w:lvlJc w:val="left"/>
      <w:pPr>
        <w:ind w:left="3350" w:hanging="360"/>
      </w:pPr>
    </w:lvl>
    <w:lvl w:ilvl="4" w:tplc="0C090019" w:tentative="1">
      <w:start w:val="1"/>
      <w:numFmt w:val="lowerLetter"/>
      <w:lvlText w:val="%5."/>
      <w:lvlJc w:val="left"/>
      <w:pPr>
        <w:ind w:left="4070" w:hanging="360"/>
      </w:pPr>
    </w:lvl>
    <w:lvl w:ilvl="5" w:tplc="0C09001B" w:tentative="1">
      <w:start w:val="1"/>
      <w:numFmt w:val="lowerRoman"/>
      <w:lvlText w:val="%6."/>
      <w:lvlJc w:val="right"/>
      <w:pPr>
        <w:ind w:left="4790" w:hanging="180"/>
      </w:pPr>
    </w:lvl>
    <w:lvl w:ilvl="6" w:tplc="0C09000F" w:tentative="1">
      <w:start w:val="1"/>
      <w:numFmt w:val="decimal"/>
      <w:lvlText w:val="%7."/>
      <w:lvlJc w:val="left"/>
      <w:pPr>
        <w:ind w:left="5510" w:hanging="360"/>
      </w:pPr>
    </w:lvl>
    <w:lvl w:ilvl="7" w:tplc="0C090019" w:tentative="1">
      <w:start w:val="1"/>
      <w:numFmt w:val="lowerLetter"/>
      <w:lvlText w:val="%8."/>
      <w:lvlJc w:val="left"/>
      <w:pPr>
        <w:ind w:left="6230" w:hanging="360"/>
      </w:pPr>
    </w:lvl>
    <w:lvl w:ilvl="8" w:tplc="0C09001B" w:tentative="1">
      <w:start w:val="1"/>
      <w:numFmt w:val="lowerRoman"/>
      <w:lvlText w:val="%9."/>
      <w:lvlJc w:val="right"/>
      <w:pPr>
        <w:ind w:left="6950" w:hanging="180"/>
      </w:pPr>
    </w:lvl>
  </w:abstractNum>
  <w:abstractNum w:abstractNumId="21"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2" w15:restartNumberingAfterBreak="0">
    <w:nsid w:val="5DA672DA"/>
    <w:multiLevelType w:val="hybridMultilevel"/>
    <w:tmpl w:val="ACDAC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1D1AD2"/>
    <w:multiLevelType w:val="hybridMultilevel"/>
    <w:tmpl w:val="2E1A093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4"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77845"/>
    <w:multiLevelType w:val="hybridMultilevel"/>
    <w:tmpl w:val="92DCA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7"/>
  </w:num>
  <w:num w:numId="4">
    <w:abstractNumId w:val="17"/>
  </w:num>
  <w:num w:numId="5">
    <w:abstractNumId w:val="13"/>
  </w:num>
  <w:num w:numId="6">
    <w:abstractNumId w:val="19"/>
  </w:num>
  <w:num w:numId="7">
    <w:abstractNumId w:val="6"/>
  </w:num>
  <w:num w:numId="8">
    <w:abstractNumId w:val="18"/>
  </w:num>
  <w:num w:numId="9">
    <w:abstractNumId w:val="4"/>
  </w:num>
  <w:num w:numId="10">
    <w:abstractNumId w:val="9"/>
  </w:num>
  <w:num w:numId="11">
    <w:abstractNumId w:val="21"/>
  </w:num>
  <w:num w:numId="12">
    <w:abstractNumId w:val="5"/>
  </w:num>
  <w:num w:numId="13">
    <w:abstractNumId w:val="16"/>
  </w:num>
  <w:num w:numId="14">
    <w:abstractNumId w:val="12"/>
  </w:num>
  <w:num w:numId="15">
    <w:abstractNumId w:val="24"/>
  </w:num>
  <w:num w:numId="16">
    <w:abstractNumId w:val="26"/>
  </w:num>
  <w:num w:numId="17">
    <w:abstractNumId w:val="0"/>
  </w:num>
  <w:num w:numId="18">
    <w:abstractNumId w:val="14"/>
  </w:num>
  <w:num w:numId="19">
    <w:abstractNumId w:val="2"/>
  </w:num>
  <w:num w:numId="20">
    <w:abstractNumId w:val="22"/>
  </w:num>
  <w:num w:numId="21">
    <w:abstractNumId w:val="25"/>
  </w:num>
  <w:num w:numId="22">
    <w:abstractNumId w:val="8"/>
  </w:num>
  <w:num w:numId="23">
    <w:abstractNumId w:val="1"/>
  </w:num>
  <w:num w:numId="24">
    <w:abstractNumId w:val="10"/>
  </w:num>
  <w:num w:numId="25">
    <w:abstractNumId w:val="15"/>
  </w:num>
  <w:num w:numId="26">
    <w:abstractNumId w:val="23"/>
  </w:num>
  <w:num w:numId="27">
    <w:abstractNumId w:val="20"/>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CRtgIMTeYzPi/S0DhPYhXRcoauvcgdCh8d+Lmsfp2V2JIYYbqFBui6i8mZnUB1k19hiH9t0Kj5LgodqyijulA==" w:salt="ObATcDCr1quonGNoaMMi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447F"/>
    <w:rsid w:val="000A525A"/>
    <w:rsid w:val="000D263F"/>
    <w:rsid w:val="000F366C"/>
    <w:rsid w:val="001178C7"/>
    <w:rsid w:val="0012377D"/>
    <w:rsid w:val="00137FD8"/>
    <w:rsid w:val="00150939"/>
    <w:rsid w:val="001522AF"/>
    <w:rsid w:val="00153808"/>
    <w:rsid w:val="001809CB"/>
    <w:rsid w:val="001929AD"/>
    <w:rsid w:val="001C7119"/>
    <w:rsid w:val="001E6B33"/>
    <w:rsid w:val="002144BC"/>
    <w:rsid w:val="00224155"/>
    <w:rsid w:val="002609DA"/>
    <w:rsid w:val="00277A6A"/>
    <w:rsid w:val="002A52EA"/>
    <w:rsid w:val="002C45E2"/>
    <w:rsid w:val="002C6D35"/>
    <w:rsid w:val="00304B79"/>
    <w:rsid w:val="00326609"/>
    <w:rsid w:val="00381489"/>
    <w:rsid w:val="003A2159"/>
    <w:rsid w:val="003A7DB8"/>
    <w:rsid w:val="003B57ED"/>
    <w:rsid w:val="003B5B34"/>
    <w:rsid w:val="003D263C"/>
    <w:rsid w:val="00401B82"/>
    <w:rsid w:val="00427E3E"/>
    <w:rsid w:val="00432DC3"/>
    <w:rsid w:val="00447125"/>
    <w:rsid w:val="004631A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644C6"/>
    <w:rsid w:val="00567914"/>
    <w:rsid w:val="0059532D"/>
    <w:rsid w:val="005B0806"/>
    <w:rsid w:val="005D157A"/>
    <w:rsid w:val="005F3FCA"/>
    <w:rsid w:val="006054F7"/>
    <w:rsid w:val="00616621"/>
    <w:rsid w:val="00616CC9"/>
    <w:rsid w:val="00650E78"/>
    <w:rsid w:val="00673047"/>
    <w:rsid w:val="00676CC7"/>
    <w:rsid w:val="00680F16"/>
    <w:rsid w:val="00682D9A"/>
    <w:rsid w:val="00693E42"/>
    <w:rsid w:val="006A1813"/>
    <w:rsid w:val="006A6320"/>
    <w:rsid w:val="006D4F28"/>
    <w:rsid w:val="006E6AFA"/>
    <w:rsid w:val="00700D3D"/>
    <w:rsid w:val="00702D8D"/>
    <w:rsid w:val="0070511C"/>
    <w:rsid w:val="00715C97"/>
    <w:rsid w:val="00767CDC"/>
    <w:rsid w:val="00786493"/>
    <w:rsid w:val="00790769"/>
    <w:rsid w:val="007B0AF7"/>
    <w:rsid w:val="007C747F"/>
    <w:rsid w:val="007E2E38"/>
    <w:rsid w:val="008440A3"/>
    <w:rsid w:val="00851ABE"/>
    <w:rsid w:val="00861AE7"/>
    <w:rsid w:val="00861B6A"/>
    <w:rsid w:val="008778F6"/>
    <w:rsid w:val="00881452"/>
    <w:rsid w:val="00891B95"/>
    <w:rsid w:val="008B02FF"/>
    <w:rsid w:val="008C1D93"/>
    <w:rsid w:val="008E5662"/>
    <w:rsid w:val="008F27EB"/>
    <w:rsid w:val="008F51AB"/>
    <w:rsid w:val="00901B96"/>
    <w:rsid w:val="00921A5B"/>
    <w:rsid w:val="00922CF8"/>
    <w:rsid w:val="00924BE2"/>
    <w:rsid w:val="009258C5"/>
    <w:rsid w:val="009258E4"/>
    <w:rsid w:val="00934305"/>
    <w:rsid w:val="00943198"/>
    <w:rsid w:val="0094403E"/>
    <w:rsid w:val="00950AC2"/>
    <w:rsid w:val="00955F3B"/>
    <w:rsid w:val="009614FB"/>
    <w:rsid w:val="00970836"/>
    <w:rsid w:val="00995B77"/>
    <w:rsid w:val="009A09BF"/>
    <w:rsid w:val="009C0507"/>
    <w:rsid w:val="009E4677"/>
    <w:rsid w:val="009F4046"/>
    <w:rsid w:val="00A0012C"/>
    <w:rsid w:val="00A37615"/>
    <w:rsid w:val="00A435D5"/>
    <w:rsid w:val="00A50CF0"/>
    <w:rsid w:val="00A62A56"/>
    <w:rsid w:val="00A70B25"/>
    <w:rsid w:val="00A747C9"/>
    <w:rsid w:val="00A93854"/>
    <w:rsid w:val="00A97F64"/>
    <w:rsid w:val="00AB7606"/>
    <w:rsid w:val="00AD2A44"/>
    <w:rsid w:val="00AD3B44"/>
    <w:rsid w:val="00B069B9"/>
    <w:rsid w:val="00B44F5C"/>
    <w:rsid w:val="00B46078"/>
    <w:rsid w:val="00B50A6E"/>
    <w:rsid w:val="00B574B8"/>
    <w:rsid w:val="00B60AA8"/>
    <w:rsid w:val="00BB1B68"/>
    <w:rsid w:val="00BC6512"/>
    <w:rsid w:val="00BD44D6"/>
    <w:rsid w:val="00BE59C4"/>
    <w:rsid w:val="00BE79A2"/>
    <w:rsid w:val="00BF2354"/>
    <w:rsid w:val="00C00288"/>
    <w:rsid w:val="00C2166F"/>
    <w:rsid w:val="00C76609"/>
    <w:rsid w:val="00C83370"/>
    <w:rsid w:val="00C901F9"/>
    <w:rsid w:val="00CB4659"/>
    <w:rsid w:val="00CC0514"/>
    <w:rsid w:val="00CD38D7"/>
    <w:rsid w:val="00CD4F68"/>
    <w:rsid w:val="00CF71C5"/>
    <w:rsid w:val="00D0225B"/>
    <w:rsid w:val="00D0606C"/>
    <w:rsid w:val="00D1263E"/>
    <w:rsid w:val="00D153A6"/>
    <w:rsid w:val="00D43AB3"/>
    <w:rsid w:val="00D558D3"/>
    <w:rsid w:val="00D61038"/>
    <w:rsid w:val="00D65A79"/>
    <w:rsid w:val="00D66B5B"/>
    <w:rsid w:val="00D77A67"/>
    <w:rsid w:val="00D84746"/>
    <w:rsid w:val="00D862B8"/>
    <w:rsid w:val="00D943F4"/>
    <w:rsid w:val="00D94B7A"/>
    <w:rsid w:val="00DA5C92"/>
    <w:rsid w:val="00DB03A3"/>
    <w:rsid w:val="00DE7410"/>
    <w:rsid w:val="00E00477"/>
    <w:rsid w:val="00E178CB"/>
    <w:rsid w:val="00E20974"/>
    <w:rsid w:val="00E212DE"/>
    <w:rsid w:val="00E25E31"/>
    <w:rsid w:val="00E26F5C"/>
    <w:rsid w:val="00E34072"/>
    <w:rsid w:val="00E4028D"/>
    <w:rsid w:val="00E427EF"/>
    <w:rsid w:val="00E452B0"/>
    <w:rsid w:val="00E479E8"/>
    <w:rsid w:val="00E67D0E"/>
    <w:rsid w:val="00E76BC0"/>
    <w:rsid w:val="00E94098"/>
    <w:rsid w:val="00E9646D"/>
    <w:rsid w:val="00EA364C"/>
    <w:rsid w:val="00EE08AC"/>
    <w:rsid w:val="00EF2827"/>
    <w:rsid w:val="00F0499B"/>
    <w:rsid w:val="00F06013"/>
    <w:rsid w:val="00F211FD"/>
    <w:rsid w:val="00F33EAC"/>
    <w:rsid w:val="00F7042C"/>
    <w:rsid w:val="00FA3F42"/>
    <w:rsid w:val="00FA5A32"/>
    <w:rsid w:val="00FB5E44"/>
    <w:rsid w:val="00FB7D7D"/>
    <w:rsid w:val="00FE3A97"/>
    <w:rsid w:val="08F1F766"/>
    <w:rsid w:val="0AD6F288"/>
    <w:rsid w:val="1CD3C916"/>
    <w:rsid w:val="1DD580C5"/>
    <w:rsid w:val="355C1045"/>
    <w:rsid w:val="451BCF90"/>
    <w:rsid w:val="4C9D668A"/>
    <w:rsid w:val="4CD23F6C"/>
    <w:rsid w:val="5098BDD7"/>
    <w:rsid w:val="64A42E1B"/>
    <w:rsid w:val="67E53EAC"/>
    <w:rsid w:val="6931E435"/>
    <w:rsid w:val="6BADF51B"/>
    <w:rsid w:val="7132D439"/>
    <w:rsid w:val="7279B794"/>
    <w:rsid w:val="77A3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A57F3"/>
  <w15:docId w15:val="{5E54767F-0D18-4851-A96E-0BCC1A39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3A7DB8"/>
    <w:pPr>
      <w:ind w:left="115"/>
      <w:outlineLvl w:val="0"/>
    </w:pPr>
    <w:rPr>
      <w:sz w:val="44"/>
    </w:rPr>
  </w:style>
  <w:style w:type="paragraph" w:styleId="Heading2">
    <w:name w:val="heading 2"/>
    <w:aliases w:val="VA Heading 2"/>
    <w:basedOn w:val="Normal"/>
    <w:next w:val="Normal"/>
    <w:link w:val="Heading2Char"/>
    <w:autoRedefine/>
    <w:uiPriority w:val="9"/>
    <w:unhideWhenUsed/>
    <w:qFormat/>
    <w:rsid w:val="00995B77"/>
    <w:pPr>
      <w:keepNext/>
      <w:keepLines/>
      <w:spacing w:before="24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995B77"/>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3A7DB8"/>
    <w:rPr>
      <w:rFonts w:ascii="Arial" w:eastAsia="Times New Roman" w:hAnsi="Arial" w:cstheme="majorBidi"/>
      <w:b/>
      <w:bCs/>
      <w:color w:val="000000" w:themeColor="text1"/>
      <w:sz w:val="44"/>
      <w:szCs w:val="32"/>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1"/>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B77"/>
    <w:pPr>
      <w:spacing w:after="0" w:line="240" w:lineRule="auto"/>
    </w:pPr>
    <w:rPr>
      <w:rFonts w:ascii="Arial" w:hAnsi="Arial"/>
      <w:color w:val="000000" w:themeColor="text1"/>
      <w:sz w:val="32"/>
    </w:rPr>
  </w:style>
  <w:style w:type="paragraph" w:styleId="BodyText">
    <w:name w:val="Body Text"/>
    <w:basedOn w:val="Normal"/>
    <w:link w:val="BodyTextChar"/>
    <w:uiPriority w:val="1"/>
    <w:qFormat/>
    <w:rsid w:val="003A7DB8"/>
    <w:pPr>
      <w:widowControl w:val="0"/>
      <w:autoSpaceDE w:val="0"/>
      <w:autoSpaceDN w:val="0"/>
      <w:spacing w:after="0" w:line="240" w:lineRule="auto"/>
      <w:ind w:left="110"/>
    </w:pPr>
    <w:rPr>
      <w:rFonts w:eastAsia="Arial" w:cs="Arial"/>
      <w:color w:val="auto"/>
      <w:szCs w:val="32"/>
      <w:lang w:val="en-US"/>
    </w:rPr>
  </w:style>
  <w:style w:type="character" w:customStyle="1" w:styleId="BodyTextChar">
    <w:name w:val="Body Text Char"/>
    <w:basedOn w:val="DefaultParagraphFont"/>
    <w:link w:val="BodyText"/>
    <w:uiPriority w:val="1"/>
    <w:rsid w:val="003A7DB8"/>
    <w:rPr>
      <w:rFonts w:ascii="Arial" w:eastAsia="Arial" w:hAnsi="Arial" w:cs="Arial"/>
      <w:sz w:val="32"/>
      <w:szCs w:val="32"/>
      <w:lang w:val="en-US"/>
    </w:rPr>
  </w:style>
  <w:style w:type="paragraph" w:customStyle="1" w:styleId="TableParagraph">
    <w:name w:val="Table Paragraph"/>
    <w:basedOn w:val="Normal"/>
    <w:uiPriority w:val="1"/>
    <w:qFormat/>
    <w:rsid w:val="003A7DB8"/>
    <w:pPr>
      <w:widowControl w:val="0"/>
      <w:autoSpaceDE w:val="0"/>
      <w:autoSpaceDN w:val="0"/>
      <w:spacing w:after="0" w:line="310" w:lineRule="exact"/>
      <w:ind w:left="105"/>
    </w:pPr>
    <w:rPr>
      <w:rFonts w:eastAsia="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_x0020_Responsible xmlns="439bc4ae-2ae9-49ca-8064-2d446c1fe790">
      <UserInfo>
        <DisplayName>Emily Ratnagobal</DisplayName>
        <AccountId>2242</AccountId>
        <AccountType/>
      </UserInfo>
    </Person_x0020_Responsible>
    <Last_x0020_Review xmlns="439bc4ae-2ae9-49ca-8064-2d446c1fe790">2021-11-30T13:00:00+00:00</Last_x0020_Review>
    <Owning_x0020_Department xmlns="439bc4ae-2ae9-49ca-8064-2d446c1fe790">Ceo's Office</Owning_x0020_Department>
    <Next_x0020_Review_x0020_Date xmlns="439bc4ae-2ae9-49ca-8064-2d446c1fe790">2022-11-30T13:00:00+00:00</Next_x0020_Review_x0020_Date>
    <Status xmlns="439bc4ae-2ae9-49ca-8064-2d446c1fe790">Active</Status>
    <Readonly xmlns="439bc4ae-2ae9-49ca-8064-2d446c1fe790">false</Readonl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110DA4DEAFB49AF0AE6B232EC0BC5" ma:contentTypeVersion="16" ma:contentTypeDescription="Create a new document." ma:contentTypeScope="" ma:versionID="005c6953ca548897bf7f5f6be611ac57">
  <xsd:schema xmlns:xsd="http://www.w3.org/2001/XMLSchema" xmlns:xs="http://www.w3.org/2001/XMLSchema" xmlns:p="http://schemas.microsoft.com/office/2006/metadata/properties" xmlns:ns2="439bc4ae-2ae9-49ca-8064-2d446c1fe790" xmlns:ns3="80e5e189-e730-4b79-a0bd-35bf51b54a80" targetNamespace="http://schemas.microsoft.com/office/2006/metadata/properties" ma:root="true" ma:fieldsID="ff2c828859ff7d0c476fc7eca90f71aa" ns2:_="" ns3:_="">
    <xsd:import namespace="439bc4ae-2ae9-49ca-8064-2d446c1fe790"/>
    <xsd:import namespace="80e5e189-e730-4b79-a0bd-35bf51b54a80"/>
    <xsd:element name="properties">
      <xsd:complexType>
        <xsd:sequence>
          <xsd:element name="documentManagement">
            <xsd:complexType>
              <xsd:all>
                <xsd:element ref="ns2:Last_x0020_Review" minOccurs="0"/>
                <xsd:element ref="ns2:Next_x0020_Review_x0020_Date" minOccurs="0"/>
                <xsd:element ref="ns2:Person_x0020_Responsible" minOccurs="0"/>
                <xsd:element ref="ns2:Owning_x0020_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Read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bc4ae-2ae9-49ca-8064-2d446c1fe790" elementFormDefault="qualified">
    <xsd:import namespace="http://schemas.microsoft.com/office/2006/documentManagement/types"/>
    <xsd:import namespace="http://schemas.microsoft.com/office/infopath/2007/PartnerControls"/>
    <xsd:element name="Last_x0020_Review" ma:index="2" nillable="true" ma:displayName="Last Review Date" ma:format="DateOnly" ma:internalName="Last_x0020_Review" ma:readOnly="false">
      <xsd:simpleType>
        <xsd:restriction base="dms:DateTime"/>
      </xsd:simpleType>
    </xsd:element>
    <xsd:element name="Next_x0020_Review_x0020_Date" ma:index="3" nillable="true" ma:displayName="Next Review Date" ma:format="DateOnly" ma:internalName="Next_x0020_Review_x0020_Date" ma:readOnly="false">
      <xsd:simpleType>
        <xsd:restriction base="dms:DateTime"/>
      </xsd:simpleType>
    </xsd:element>
    <xsd:element name="Person_x0020_Responsible" ma:index="4" nillable="true" ma:displayName="Person Responsible" ma:list="UserInfo" ma:SharePointGroup="0" ma:internalName="Person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ing_x0020_Department" ma:index="5" nillable="true" ma:displayName="Owning Department" ma:internalName="Owning_x0020_Departmen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default="Active" ma:format="Dropdown" ma:internalName="Status">
      <xsd:simpleType>
        <xsd:restriction base="dms:Choice">
          <xsd:enumeration value="Active"/>
          <xsd:enumeration value="Archived"/>
          <xsd:enumeration value="Replaced"/>
          <xsd:enumeration value="Under review"/>
        </xsd:restriction>
      </xsd:simpleType>
    </xsd:element>
    <xsd:element name="Readonly" ma:index="19" nillable="true" ma:displayName="Read only" ma:default="0" ma:format="Dropdown" ma:internalName="Readonl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743-7BD7-4C68-BFDC-1C306E5EDCB1}">
  <ds:schemaRefs>
    <ds:schemaRef ds:uri="http://schemas.microsoft.com/office/2006/metadata/properties"/>
    <ds:schemaRef ds:uri="http://schemas.microsoft.com/office/infopath/2007/PartnerControls"/>
    <ds:schemaRef ds:uri="439bc4ae-2ae9-49ca-8064-2d446c1fe790"/>
  </ds:schemaRefs>
</ds:datastoreItem>
</file>

<file path=customXml/itemProps2.xml><?xml version="1.0" encoding="utf-8"?>
<ds:datastoreItem xmlns:ds="http://schemas.openxmlformats.org/officeDocument/2006/customXml" ds:itemID="{70F3466C-663F-436B-8F13-C9A3B0F0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bc4ae-2ae9-49ca-8064-2d446c1fe790"/>
    <ds:schemaRef ds:uri="80e5e189-e730-4b79-a0bd-35bf51b54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4.xml><?xml version="1.0" encoding="utf-8"?>
<ds:datastoreItem xmlns:ds="http://schemas.openxmlformats.org/officeDocument/2006/customXml" ds:itemID="{008D1EBB-25D8-41D8-A645-96300FCD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Template>
  <TotalTime>12</TotalTime>
  <Pages>1</Pages>
  <Words>1833</Words>
  <Characters>10452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Disclosure of Interests Policy</vt:lpstr>
    </vt:vector>
  </TitlesOfParts>
  <Company>Vision Australia</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Interests Policy</dc:title>
  <dc:creator>Megan McAlpine</dc:creator>
  <cp:lastModifiedBy>Sam Coad</cp:lastModifiedBy>
  <cp:revision>9</cp:revision>
  <cp:lastPrinted>2018-01-28T23:59:00Z</cp:lastPrinted>
  <dcterms:created xsi:type="dcterms:W3CDTF">2020-05-14T02:10:00Z</dcterms:created>
  <dcterms:modified xsi:type="dcterms:W3CDTF">2022-02-01T00:47:00Z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0x01010015D110DA4DEAFB49AF0AE6B232EC0BC5</vt:lpwstr>
  </property>
  <property fmtid="{D5CDD505-2E9C-101B-9397-08002B2CF9AE}" pid="3" name="_dlc_DocIdItemGuid">
    <vt:lpwstr>933f4d81-ebf0-4cce-a03e-94399acc3903</vt:lpwstr>
  </property>
</Properties>
</file>