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C3D6" w14:textId="77777777" w:rsidR="000609ED" w:rsidRDefault="000609ED" w:rsidP="000609ED">
      <w:r>
        <w:rPr>
          <w:noProof/>
          <w:lang w:eastAsia="en-AU"/>
        </w:rPr>
        <w:drawing>
          <wp:anchor distT="0" distB="0" distL="114300" distR="114300" simplePos="0" relativeHeight="251659264" behindDoc="0" locked="0" layoutInCell="1" allowOverlap="1" wp14:anchorId="1AB04019" wp14:editId="7697CE81">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1C2CC6B4" w14:textId="77777777" w:rsidR="000609ED" w:rsidRDefault="000609ED" w:rsidP="000609ED">
      <w:pPr>
        <w:pStyle w:val="Title"/>
      </w:pPr>
    </w:p>
    <w:p w14:paraId="7CCFB8AF" w14:textId="77777777" w:rsidR="000609ED" w:rsidRDefault="000609ED" w:rsidP="000609ED">
      <w:pPr>
        <w:pStyle w:val="Title"/>
      </w:pPr>
    </w:p>
    <w:p w14:paraId="47ED14D9" w14:textId="7F34BE94" w:rsidR="000609ED" w:rsidRDefault="000609ED" w:rsidP="00407C35">
      <w:pPr>
        <w:pStyle w:val="Title"/>
        <w:spacing w:after="0"/>
        <w:jc w:val="both"/>
        <w:rPr>
          <w:rFonts w:ascii="Arial" w:hAnsi="Arial" w:cs="Arial"/>
          <w:b/>
          <w:bCs/>
          <w:sz w:val="40"/>
          <w:szCs w:val="40"/>
        </w:rPr>
      </w:pPr>
      <w:r w:rsidRPr="00407C35">
        <w:rPr>
          <w:rFonts w:ascii="Arial" w:hAnsi="Arial" w:cs="Arial"/>
          <w:b/>
          <w:bCs/>
          <w:sz w:val="40"/>
          <w:szCs w:val="40"/>
        </w:rPr>
        <w:t>Vision Australia Submission</w:t>
      </w:r>
      <w:r w:rsidR="00407C35" w:rsidRPr="00407C35">
        <w:rPr>
          <w:rFonts w:ascii="Arial" w:hAnsi="Arial" w:cs="Arial"/>
          <w:b/>
          <w:bCs/>
          <w:sz w:val="40"/>
          <w:szCs w:val="40"/>
        </w:rPr>
        <w:t>: Cost Recovery Consultation</w:t>
      </w:r>
    </w:p>
    <w:p w14:paraId="5F2289E0" w14:textId="77777777" w:rsidR="00407C35" w:rsidRPr="00407C35" w:rsidRDefault="00407C35" w:rsidP="00407C35">
      <w:pPr>
        <w:spacing w:after="0" w:line="240" w:lineRule="auto"/>
        <w:contextualSpacing/>
      </w:pPr>
    </w:p>
    <w:p w14:paraId="24D762A4" w14:textId="7A17B337" w:rsidR="000609ED" w:rsidRDefault="000609ED" w:rsidP="00407C35">
      <w:pPr>
        <w:spacing w:after="0" w:line="240" w:lineRule="auto"/>
        <w:contextualSpacing/>
        <w:jc w:val="both"/>
        <w:rPr>
          <w:rFonts w:ascii="Arial" w:hAnsi="Arial" w:cs="Arial"/>
          <w:sz w:val="28"/>
          <w:szCs w:val="28"/>
        </w:rPr>
      </w:pPr>
      <w:r w:rsidRPr="008F2934">
        <w:rPr>
          <w:rFonts w:ascii="Arial" w:hAnsi="Arial" w:cs="Arial"/>
          <w:sz w:val="28"/>
          <w:szCs w:val="28"/>
        </w:rPr>
        <w:t xml:space="preserve">Submitted to: </w:t>
      </w:r>
      <w:r>
        <w:rPr>
          <w:rFonts w:ascii="Arial" w:hAnsi="Arial" w:cs="Arial"/>
          <w:sz w:val="28"/>
          <w:szCs w:val="28"/>
        </w:rPr>
        <w:t xml:space="preserve">Aged </w:t>
      </w:r>
      <w:r w:rsidR="00407C35">
        <w:rPr>
          <w:rFonts w:ascii="Arial" w:hAnsi="Arial" w:cs="Arial"/>
          <w:sz w:val="28"/>
          <w:szCs w:val="28"/>
        </w:rPr>
        <w:t>C</w:t>
      </w:r>
      <w:r>
        <w:rPr>
          <w:rFonts w:ascii="Arial" w:hAnsi="Arial" w:cs="Arial"/>
          <w:sz w:val="28"/>
          <w:szCs w:val="28"/>
        </w:rPr>
        <w:t xml:space="preserve">are Quality and Safety Commission </w:t>
      </w:r>
    </w:p>
    <w:p w14:paraId="48F3AA2F" w14:textId="77777777" w:rsidR="00407C35" w:rsidRPr="008F2934" w:rsidRDefault="00407C35" w:rsidP="00407C35">
      <w:pPr>
        <w:spacing w:after="0" w:line="240" w:lineRule="auto"/>
        <w:contextualSpacing/>
        <w:jc w:val="both"/>
        <w:rPr>
          <w:rFonts w:ascii="Arial" w:hAnsi="Arial" w:cs="Arial"/>
          <w:sz w:val="28"/>
          <w:szCs w:val="28"/>
        </w:rPr>
      </w:pPr>
    </w:p>
    <w:p w14:paraId="75EFE4F2" w14:textId="0F7DFEEA" w:rsidR="000609ED" w:rsidRDefault="000609ED" w:rsidP="00407C35">
      <w:pPr>
        <w:spacing w:after="0" w:line="240" w:lineRule="auto"/>
        <w:contextualSpacing/>
        <w:jc w:val="both"/>
        <w:rPr>
          <w:rFonts w:ascii="Arial" w:hAnsi="Arial" w:cs="Arial"/>
          <w:sz w:val="28"/>
          <w:szCs w:val="28"/>
        </w:rPr>
      </w:pPr>
      <w:r w:rsidRPr="008F2934">
        <w:rPr>
          <w:rFonts w:ascii="Arial" w:hAnsi="Arial" w:cs="Arial"/>
          <w:sz w:val="28"/>
          <w:szCs w:val="28"/>
        </w:rPr>
        <w:t xml:space="preserve">Date: </w:t>
      </w:r>
      <w:r>
        <w:rPr>
          <w:rFonts w:ascii="Arial" w:hAnsi="Arial" w:cs="Arial"/>
          <w:sz w:val="28"/>
          <w:szCs w:val="28"/>
        </w:rPr>
        <w:t xml:space="preserve">1 April </w:t>
      </w:r>
      <w:r w:rsidRPr="008F2934">
        <w:rPr>
          <w:rFonts w:ascii="Arial" w:hAnsi="Arial" w:cs="Arial"/>
          <w:sz w:val="28"/>
          <w:szCs w:val="28"/>
        </w:rPr>
        <w:t>202</w:t>
      </w:r>
      <w:r>
        <w:rPr>
          <w:rFonts w:ascii="Arial" w:hAnsi="Arial" w:cs="Arial"/>
          <w:sz w:val="28"/>
          <w:szCs w:val="28"/>
        </w:rPr>
        <w:t>5</w:t>
      </w:r>
    </w:p>
    <w:p w14:paraId="67FA2655" w14:textId="77777777" w:rsidR="00407C35" w:rsidRPr="008F2934" w:rsidRDefault="00407C35" w:rsidP="00407C35">
      <w:pPr>
        <w:spacing w:after="0" w:line="240" w:lineRule="auto"/>
        <w:contextualSpacing/>
        <w:jc w:val="both"/>
        <w:rPr>
          <w:rFonts w:ascii="Arial" w:hAnsi="Arial" w:cs="Arial"/>
          <w:sz w:val="28"/>
          <w:szCs w:val="28"/>
        </w:rPr>
      </w:pPr>
    </w:p>
    <w:p w14:paraId="0F2F2109" w14:textId="41EA1565" w:rsidR="000609ED" w:rsidRPr="008F2934" w:rsidRDefault="000609ED" w:rsidP="00407C35">
      <w:pPr>
        <w:pBdr>
          <w:bottom w:val="single" w:sz="6" w:space="1" w:color="auto"/>
        </w:pBdr>
        <w:spacing w:after="0" w:line="240" w:lineRule="auto"/>
        <w:contextualSpacing/>
        <w:jc w:val="both"/>
        <w:rPr>
          <w:rFonts w:ascii="Arial" w:hAnsi="Arial" w:cs="Arial"/>
          <w:sz w:val="28"/>
          <w:szCs w:val="28"/>
        </w:rPr>
      </w:pPr>
      <w:r w:rsidRPr="008F2934">
        <w:rPr>
          <w:rFonts w:ascii="Arial" w:hAnsi="Arial" w:cs="Arial"/>
          <w:sz w:val="28"/>
          <w:szCs w:val="28"/>
        </w:rPr>
        <w:t xml:space="preserve">Submission approved by: Chris Edwards, </w:t>
      </w:r>
      <w:r w:rsidR="006C7D10">
        <w:rPr>
          <w:rFonts w:ascii="Arial" w:hAnsi="Arial" w:cs="Arial"/>
          <w:sz w:val="28"/>
          <w:szCs w:val="28"/>
        </w:rPr>
        <w:t xml:space="preserve">General </w:t>
      </w:r>
      <w:r>
        <w:rPr>
          <w:rFonts w:ascii="Arial" w:hAnsi="Arial" w:cs="Arial"/>
          <w:sz w:val="28"/>
          <w:szCs w:val="28"/>
        </w:rPr>
        <w:t xml:space="preserve">Manager </w:t>
      </w:r>
      <w:r w:rsidR="00407C35">
        <w:rPr>
          <w:rFonts w:ascii="Arial" w:hAnsi="Arial" w:cs="Arial"/>
          <w:sz w:val="28"/>
          <w:szCs w:val="28"/>
        </w:rPr>
        <w:t>C</w:t>
      </w:r>
      <w:r>
        <w:rPr>
          <w:rFonts w:ascii="Arial" w:hAnsi="Arial" w:cs="Arial"/>
          <w:sz w:val="28"/>
          <w:szCs w:val="28"/>
        </w:rPr>
        <w:t xml:space="preserve">orporate Affairs </w:t>
      </w:r>
      <w:r w:rsidR="006C7D10">
        <w:rPr>
          <w:rFonts w:ascii="Arial" w:hAnsi="Arial" w:cs="Arial"/>
          <w:sz w:val="28"/>
          <w:szCs w:val="28"/>
        </w:rPr>
        <w:t>and Advocacy</w:t>
      </w:r>
    </w:p>
    <w:p w14:paraId="1E131955" w14:textId="77777777" w:rsidR="000609ED" w:rsidRPr="00814B19" w:rsidRDefault="000609ED" w:rsidP="00407C35">
      <w:pPr>
        <w:pBdr>
          <w:bottom w:val="single" w:sz="6" w:space="1" w:color="auto"/>
        </w:pBdr>
        <w:spacing w:after="0" w:line="240" w:lineRule="auto"/>
        <w:contextualSpacing/>
        <w:rPr>
          <w:sz w:val="28"/>
          <w:szCs w:val="28"/>
        </w:rPr>
      </w:pPr>
    </w:p>
    <w:p w14:paraId="5DBF9B28" w14:textId="77777777" w:rsidR="000609ED" w:rsidRPr="00480C53" w:rsidRDefault="000609ED" w:rsidP="000609ED">
      <w:pPr>
        <w:spacing w:after="0" w:line="240" w:lineRule="auto"/>
        <w:rPr>
          <w:rFonts w:eastAsia="Times New Roman"/>
          <w:b/>
          <w:sz w:val="40"/>
          <w:szCs w:val="40"/>
        </w:rPr>
      </w:pPr>
      <w:r>
        <w:br w:type="page"/>
      </w:r>
    </w:p>
    <w:p w14:paraId="2C6838C5" w14:textId="008C5DC2" w:rsidR="0003424D" w:rsidRPr="00407C35" w:rsidRDefault="00086861" w:rsidP="00407C35">
      <w:pPr>
        <w:pStyle w:val="Heading1"/>
        <w:jc w:val="both"/>
        <w:rPr>
          <w:sz w:val="44"/>
          <w:szCs w:val="44"/>
        </w:rPr>
      </w:pPr>
      <w:r w:rsidRPr="00407C35">
        <w:rPr>
          <w:sz w:val="44"/>
          <w:szCs w:val="44"/>
        </w:rPr>
        <w:lastRenderedPageBreak/>
        <w:t xml:space="preserve">Vision Australia Submission: </w:t>
      </w:r>
      <w:r w:rsidR="0003424D" w:rsidRPr="00407C35">
        <w:rPr>
          <w:sz w:val="44"/>
          <w:szCs w:val="44"/>
        </w:rPr>
        <w:t xml:space="preserve">Aged </w:t>
      </w:r>
      <w:r w:rsidR="00407C35" w:rsidRPr="00407C35">
        <w:rPr>
          <w:sz w:val="44"/>
          <w:szCs w:val="44"/>
        </w:rPr>
        <w:t>C</w:t>
      </w:r>
      <w:r w:rsidR="0003424D" w:rsidRPr="00407C35">
        <w:rPr>
          <w:sz w:val="44"/>
          <w:szCs w:val="44"/>
        </w:rPr>
        <w:t xml:space="preserve">are Quality and Safety Commission Cost Recovery Consultation </w:t>
      </w:r>
    </w:p>
    <w:p w14:paraId="1D0C0520" w14:textId="357EEB1A" w:rsidR="00BA3D6A" w:rsidRPr="00407C35" w:rsidRDefault="00BA3D6A">
      <w:pPr>
        <w:rPr>
          <w:rFonts w:ascii="Arial" w:hAnsi="Arial" w:cs="Arial"/>
          <w:sz w:val="24"/>
          <w:szCs w:val="24"/>
        </w:rPr>
      </w:pPr>
      <w:r w:rsidRPr="00407C35">
        <w:rPr>
          <w:rFonts w:ascii="Arial" w:hAnsi="Arial" w:cs="Arial"/>
          <w:sz w:val="24"/>
          <w:szCs w:val="24"/>
        </w:rPr>
        <w:t>Prepared by Caitlin Mc</w:t>
      </w:r>
      <w:r w:rsidR="00086861" w:rsidRPr="00407C35">
        <w:rPr>
          <w:rFonts w:ascii="Arial" w:hAnsi="Arial" w:cs="Arial"/>
          <w:sz w:val="24"/>
          <w:szCs w:val="24"/>
        </w:rPr>
        <w:t>M</w:t>
      </w:r>
      <w:r w:rsidRPr="00407C35">
        <w:rPr>
          <w:rFonts w:ascii="Arial" w:hAnsi="Arial" w:cs="Arial"/>
          <w:sz w:val="24"/>
          <w:szCs w:val="24"/>
        </w:rPr>
        <w:t xml:space="preserve">orrow, NDIS and Aged Care </w:t>
      </w:r>
      <w:r w:rsidR="00407C35">
        <w:rPr>
          <w:rFonts w:ascii="Arial" w:hAnsi="Arial" w:cs="Arial"/>
          <w:sz w:val="24"/>
          <w:szCs w:val="24"/>
        </w:rPr>
        <w:t>F</w:t>
      </w:r>
      <w:r w:rsidRPr="00407C35">
        <w:rPr>
          <w:rFonts w:ascii="Arial" w:hAnsi="Arial" w:cs="Arial"/>
          <w:sz w:val="24"/>
          <w:szCs w:val="24"/>
        </w:rPr>
        <w:t xml:space="preserve">unding Specialist Lead </w:t>
      </w:r>
    </w:p>
    <w:p w14:paraId="333BE5F7" w14:textId="181D51F0" w:rsidR="00F0067E" w:rsidRDefault="00F0067E" w:rsidP="006C7D10">
      <w:pPr>
        <w:pStyle w:val="Heading2"/>
      </w:pPr>
      <w:r>
        <w:t xml:space="preserve">Introduction </w:t>
      </w:r>
    </w:p>
    <w:p w14:paraId="3C2E1DA0" w14:textId="69750E90" w:rsidR="00195FF2" w:rsidRPr="00407C35" w:rsidRDefault="00F0067E">
      <w:pPr>
        <w:rPr>
          <w:rFonts w:ascii="Arial" w:hAnsi="Arial" w:cs="Arial"/>
          <w:sz w:val="24"/>
          <w:szCs w:val="24"/>
        </w:rPr>
      </w:pPr>
      <w:r w:rsidRPr="00407C35">
        <w:rPr>
          <w:rFonts w:ascii="Arial" w:hAnsi="Arial" w:cs="Arial"/>
          <w:sz w:val="24"/>
          <w:szCs w:val="24"/>
        </w:rPr>
        <w:t xml:space="preserve">Vision Australia is pleased to provide this submission to the Aged Care Quality and Safety Commission regarding the proposed cost recovery arrangements for registered providers under the new Aged Care Act. Vision Australia is the largest national provider of specialised services to aged care consumers who are blind or have low vision. We operate in a thin market context, servicing a low incidence cohort with largely episodic needs. We have significant concerns that the cost recovery measures as proposed in their current form will </w:t>
      </w:r>
      <w:r w:rsidR="00E754C1">
        <w:rPr>
          <w:rFonts w:ascii="Arial" w:hAnsi="Arial" w:cs="Arial"/>
          <w:sz w:val="24"/>
          <w:szCs w:val="24"/>
        </w:rPr>
        <w:t xml:space="preserve">contribute to continued pressures on sustainability to operate in this market environment. </w:t>
      </w:r>
      <w:r w:rsidRPr="00407C35">
        <w:rPr>
          <w:rFonts w:ascii="Arial" w:hAnsi="Arial" w:cs="Arial"/>
          <w:sz w:val="24"/>
          <w:szCs w:val="24"/>
        </w:rPr>
        <w:t>If specialised providers cannot remain viable, many consumers will miss out on services that could prolong their independence and reduce their reliance on more costly and advanced forms of care. Furthermore, market failure of these providers will result in the loss of specialised disability expertise from the allied health workforce in the aged care sector.</w:t>
      </w:r>
    </w:p>
    <w:p w14:paraId="2C4DA5C3" w14:textId="4BA76282" w:rsidR="00F0067E" w:rsidRDefault="00F0067E" w:rsidP="006C7D10">
      <w:pPr>
        <w:pStyle w:val="Heading2"/>
      </w:pPr>
      <w:r>
        <w:t xml:space="preserve">Recommendations </w:t>
      </w:r>
    </w:p>
    <w:p w14:paraId="5B69DC2E" w14:textId="05D47958" w:rsidR="00F0067E" w:rsidRPr="00407C35" w:rsidRDefault="00F0067E" w:rsidP="00027D67">
      <w:pPr>
        <w:pStyle w:val="ListParagraph"/>
        <w:numPr>
          <w:ilvl w:val="0"/>
          <w:numId w:val="2"/>
        </w:numPr>
        <w:rPr>
          <w:rFonts w:ascii="Arial" w:hAnsi="Arial" w:cs="Arial"/>
          <w:sz w:val="24"/>
          <w:szCs w:val="24"/>
        </w:rPr>
      </w:pPr>
      <w:r w:rsidRPr="00407C35">
        <w:rPr>
          <w:rFonts w:ascii="Arial" w:hAnsi="Arial" w:cs="Arial"/>
          <w:sz w:val="24"/>
          <w:szCs w:val="24"/>
        </w:rPr>
        <w:t>Providers of specialised disability services should be eligible for a full fee waiver for costs associated with registration renewal and audit activities. This is necessary to ensure the continued sustainability of these providers, who service a small and low incidence cohort of consumers, often in geographically thin markets.</w:t>
      </w:r>
    </w:p>
    <w:p w14:paraId="02E0E4C8" w14:textId="419A5D25" w:rsidR="00F0067E" w:rsidRPr="00407C35" w:rsidRDefault="00F0067E" w:rsidP="00027D67">
      <w:pPr>
        <w:pStyle w:val="ListParagraph"/>
        <w:numPr>
          <w:ilvl w:val="0"/>
          <w:numId w:val="2"/>
        </w:numPr>
        <w:rPr>
          <w:rFonts w:ascii="Arial" w:hAnsi="Arial" w:cs="Arial"/>
          <w:sz w:val="24"/>
          <w:szCs w:val="24"/>
        </w:rPr>
      </w:pPr>
      <w:r w:rsidRPr="00407C35">
        <w:rPr>
          <w:rFonts w:ascii="Arial" w:hAnsi="Arial" w:cs="Arial"/>
          <w:sz w:val="24"/>
          <w:szCs w:val="24"/>
        </w:rPr>
        <w:t xml:space="preserve">Providers should not be compelled to pay renewal fees 18 months prior to the conclusion of their current registration period. This </w:t>
      </w:r>
      <w:bookmarkStart w:id="0" w:name="_Hlk194334319"/>
      <w:r w:rsidRPr="00407C35">
        <w:rPr>
          <w:rFonts w:ascii="Arial" w:hAnsi="Arial" w:cs="Arial"/>
          <w:sz w:val="24"/>
          <w:szCs w:val="24"/>
        </w:rPr>
        <w:t>requirement as proposed in the consultation paper is unreasonable. The significant change associated with aged care reforms and the resultant volatility and cost pressures within the aged care sector may mean that it is difficult for providers to predict viability of registration renewal with such a significant lead time.</w:t>
      </w:r>
      <w:bookmarkEnd w:id="0"/>
    </w:p>
    <w:p w14:paraId="04A6941A" w14:textId="1DC023B2" w:rsidR="00F0067E" w:rsidRDefault="00F0067E" w:rsidP="00027D67">
      <w:pPr>
        <w:pStyle w:val="Heading2"/>
      </w:pPr>
      <w:r>
        <w:t xml:space="preserve">Thin Market considerations </w:t>
      </w:r>
    </w:p>
    <w:p w14:paraId="055BCBCF" w14:textId="147B9CF0" w:rsidR="001E7007" w:rsidRPr="00407C35" w:rsidRDefault="00F0067E">
      <w:pPr>
        <w:rPr>
          <w:rFonts w:ascii="Arial" w:hAnsi="Arial" w:cs="Arial"/>
          <w:sz w:val="24"/>
          <w:szCs w:val="24"/>
        </w:rPr>
      </w:pPr>
      <w:r w:rsidRPr="00407C35">
        <w:rPr>
          <w:rFonts w:ascii="Arial" w:hAnsi="Arial" w:cs="Arial"/>
          <w:sz w:val="24"/>
          <w:szCs w:val="24"/>
        </w:rPr>
        <w:t>The consultation paper s</w:t>
      </w:r>
      <w:r w:rsidR="00692CB9" w:rsidRPr="00407C35">
        <w:rPr>
          <w:rFonts w:ascii="Arial" w:hAnsi="Arial" w:cs="Arial"/>
          <w:sz w:val="24"/>
          <w:szCs w:val="24"/>
        </w:rPr>
        <w:t>t</w:t>
      </w:r>
      <w:r w:rsidRPr="00407C35">
        <w:rPr>
          <w:rFonts w:ascii="Arial" w:hAnsi="Arial" w:cs="Arial"/>
          <w:sz w:val="24"/>
          <w:szCs w:val="24"/>
        </w:rPr>
        <w:t xml:space="preserve">ates that </w:t>
      </w:r>
      <w:r w:rsidR="00692CB9" w:rsidRPr="00407C35">
        <w:rPr>
          <w:rFonts w:ascii="Arial" w:hAnsi="Arial" w:cs="Arial"/>
          <w:sz w:val="24"/>
          <w:szCs w:val="24"/>
        </w:rPr>
        <w:t xml:space="preserve">the fee waiver criteria in the cost recovery framework are designed to support providers experiencing financial viability risk to enter and continue to operate in thin markets. </w:t>
      </w:r>
      <w:r w:rsidR="003C6290" w:rsidRPr="00407C35">
        <w:rPr>
          <w:rFonts w:ascii="Arial" w:hAnsi="Arial" w:cs="Arial"/>
          <w:sz w:val="24"/>
          <w:szCs w:val="24"/>
        </w:rPr>
        <w:t>It appears, however, that consideration has only been given to the impact of thin markets in a geographic contex</w:t>
      </w:r>
      <w:r w:rsidR="00D6041D" w:rsidRPr="00407C35">
        <w:rPr>
          <w:rFonts w:ascii="Arial" w:hAnsi="Arial" w:cs="Arial"/>
          <w:sz w:val="24"/>
          <w:szCs w:val="24"/>
        </w:rPr>
        <w:t>t</w:t>
      </w:r>
      <w:r w:rsidR="00CE606D" w:rsidRPr="00407C35">
        <w:rPr>
          <w:rFonts w:ascii="Arial" w:hAnsi="Arial" w:cs="Arial"/>
          <w:sz w:val="24"/>
          <w:szCs w:val="24"/>
        </w:rPr>
        <w:t>. Under the currently proposed criteria, providers seeking a fee waiver need to demonstrate that they are providing at least 85% of their services in MM</w:t>
      </w:r>
      <w:r w:rsidR="0078263C">
        <w:rPr>
          <w:rFonts w:ascii="Arial" w:hAnsi="Arial" w:cs="Arial"/>
          <w:sz w:val="24"/>
          <w:szCs w:val="24"/>
        </w:rPr>
        <w:t>M</w:t>
      </w:r>
      <w:r w:rsidR="00CE606D" w:rsidRPr="00407C35">
        <w:rPr>
          <w:rFonts w:ascii="Arial" w:hAnsi="Arial" w:cs="Arial"/>
          <w:sz w:val="24"/>
          <w:szCs w:val="24"/>
        </w:rPr>
        <w:t>6 and MMM7 areas</w:t>
      </w:r>
      <w:r w:rsidR="008772CE" w:rsidRPr="00407C35">
        <w:rPr>
          <w:rFonts w:ascii="Arial" w:hAnsi="Arial" w:cs="Arial"/>
          <w:sz w:val="24"/>
          <w:szCs w:val="24"/>
        </w:rPr>
        <w:t xml:space="preserve">. Vision Australia considers that this definition is too </w:t>
      </w:r>
      <w:r w:rsidR="0078263C" w:rsidRPr="00407C35">
        <w:rPr>
          <w:rFonts w:ascii="Arial" w:hAnsi="Arial" w:cs="Arial"/>
          <w:sz w:val="24"/>
          <w:szCs w:val="24"/>
        </w:rPr>
        <w:t>narrow and</w:t>
      </w:r>
      <w:r w:rsidR="008772CE" w:rsidRPr="00407C35">
        <w:rPr>
          <w:rFonts w:ascii="Arial" w:hAnsi="Arial" w:cs="Arial"/>
          <w:sz w:val="24"/>
          <w:szCs w:val="24"/>
        </w:rPr>
        <w:t xml:space="preserve"> does not accurately reflect the </w:t>
      </w:r>
      <w:r w:rsidR="006B5DB0" w:rsidRPr="00407C35">
        <w:rPr>
          <w:rFonts w:ascii="Arial" w:hAnsi="Arial" w:cs="Arial"/>
          <w:sz w:val="24"/>
          <w:szCs w:val="24"/>
        </w:rPr>
        <w:t xml:space="preserve">scope of </w:t>
      </w:r>
      <w:r w:rsidR="008772CE" w:rsidRPr="00407C35">
        <w:rPr>
          <w:rFonts w:ascii="Arial" w:hAnsi="Arial" w:cs="Arial"/>
          <w:sz w:val="24"/>
          <w:szCs w:val="24"/>
        </w:rPr>
        <w:t xml:space="preserve">thin market environments in which aged care providers operate. </w:t>
      </w:r>
      <w:r w:rsidR="009A443A" w:rsidRPr="00407C35">
        <w:rPr>
          <w:rFonts w:ascii="Arial" w:hAnsi="Arial" w:cs="Arial"/>
          <w:sz w:val="24"/>
          <w:szCs w:val="24"/>
        </w:rPr>
        <w:t xml:space="preserve">Consideration should be given to small, difficult to reach or </w:t>
      </w:r>
      <w:r w:rsidR="00A864A7" w:rsidRPr="00407C35">
        <w:rPr>
          <w:rFonts w:ascii="Arial" w:hAnsi="Arial" w:cs="Arial"/>
          <w:sz w:val="24"/>
          <w:szCs w:val="24"/>
        </w:rPr>
        <w:t xml:space="preserve">highly specialised cohorts, </w:t>
      </w:r>
      <w:r w:rsidR="003F042F" w:rsidRPr="00407C35">
        <w:rPr>
          <w:rFonts w:ascii="Arial" w:hAnsi="Arial" w:cs="Arial"/>
          <w:sz w:val="24"/>
          <w:szCs w:val="24"/>
        </w:rPr>
        <w:t xml:space="preserve">particularly where there are </w:t>
      </w:r>
      <w:r w:rsidR="00372382" w:rsidRPr="00407C35">
        <w:rPr>
          <w:rFonts w:ascii="Arial" w:hAnsi="Arial" w:cs="Arial"/>
          <w:sz w:val="24"/>
          <w:szCs w:val="24"/>
        </w:rPr>
        <w:t xml:space="preserve">a small number of providers and limited workforce with the specialised skills necessary to deliver </w:t>
      </w:r>
      <w:r w:rsidR="008E67EA" w:rsidRPr="00407C35">
        <w:rPr>
          <w:rFonts w:ascii="Arial" w:hAnsi="Arial" w:cs="Arial"/>
          <w:sz w:val="24"/>
          <w:szCs w:val="24"/>
        </w:rPr>
        <w:t xml:space="preserve">services. </w:t>
      </w:r>
      <w:r w:rsidR="00E7240A" w:rsidRPr="00407C35">
        <w:rPr>
          <w:rFonts w:ascii="Arial" w:eastAsia="Times New Roman" w:hAnsi="Arial" w:cs="Arial"/>
          <w:color w:val="000000"/>
          <w:kern w:val="0"/>
          <w:sz w:val="24"/>
          <w:szCs w:val="24"/>
          <w:lang w:eastAsia="en-AU"/>
          <w14:ligatures w14:val="none"/>
        </w:rPr>
        <w:t xml:space="preserve">Aged care </w:t>
      </w:r>
      <w:r w:rsidR="00E7240A" w:rsidRPr="00407C35">
        <w:rPr>
          <w:rFonts w:ascii="Arial" w:eastAsia="Times New Roman" w:hAnsi="Arial" w:cs="Arial"/>
          <w:color w:val="000000"/>
          <w:kern w:val="0"/>
          <w:sz w:val="24"/>
          <w:szCs w:val="24"/>
          <w:lang w:eastAsia="en-AU"/>
          <w14:ligatures w14:val="none"/>
        </w:rPr>
        <w:lastRenderedPageBreak/>
        <w:t xml:space="preserve">consumers who are blind or have low vision tend to access services episodically as their needs change. Providers of vision supports do not offer daily or weekly supports, as may be typical of generalist providers delivering other service types. </w:t>
      </w:r>
      <w:r w:rsidR="00E839B1" w:rsidRPr="00407C35">
        <w:rPr>
          <w:rFonts w:ascii="Arial" w:eastAsia="Times New Roman" w:hAnsi="Arial" w:cs="Arial"/>
          <w:color w:val="000000"/>
          <w:kern w:val="0"/>
          <w:sz w:val="24"/>
          <w:szCs w:val="24"/>
          <w:lang w:eastAsia="en-AU"/>
          <w14:ligatures w14:val="none"/>
        </w:rPr>
        <w:t xml:space="preserve">Variations in frequency of service, along with the fact that we work with a relatively small and complex cohort of consumers, means that our cost of on-boarding clients and meeting compliance requirements, versus the number and monetary value of services provided, is higher than many other generalist aged care providers. </w:t>
      </w:r>
      <w:r w:rsidR="00DD4CE6" w:rsidRPr="00407C35">
        <w:rPr>
          <w:rFonts w:ascii="Arial" w:hAnsi="Arial" w:cs="Arial"/>
          <w:sz w:val="24"/>
          <w:szCs w:val="24"/>
        </w:rPr>
        <w:t>It is particularly challenging to deliver tailored supports to people who are blind or have low vision in a sustainable way and this is compounded in remote and regional markets where scarcity of</w:t>
      </w:r>
      <w:r w:rsidR="00DC71ED" w:rsidRPr="00407C35">
        <w:rPr>
          <w:rFonts w:ascii="Arial" w:hAnsi="Arial" w:cs="Arial"/>
          <w:sz w:val="24"/>
          <w:szCs w:val="24"/>
        </w:rPr>
        <w:t xml:space="preserve"> </w:t>
      </w:r>
      <w:r w:rsidR="00DD4CE6" w:rsidRPr="00407C35">
        <w:rPr>
          <w:rFonts w:ascii="Arial" w:hAnsi="Arial" w:cs="Arial"/>
          <w:sz w:val="24"/>
          <w:szCs w:val="24"/>
        </w:rPr>
        <w:t xml:space="preserve">consumers, workforce and resources are all relevant factors. </w:t>
      </w:r>
      <w:r w:rsidR="00BB4A0E" w:rsidRPr="00407C35">
        <w:rPr>
          <w:rFonts w:ascii="Arial" w:hAnsi="Arial" w:cs="Arial"/>
          <w:sz w:val="24"/>
          <w:szCs w:val="24"/>
        </w:rPr>
        <w:t>The addition of audit and registration renewa</w:t>
      </w:r>
      <w:r w:rsidR="00720357" w:rsidRPr="00407C35">
        <w:rPr>
          <w:rFonts w:ascii="Arial" w:hAnsi="Arial" w:cs="Arial"/>
          <w:sz w:val="24"/>
          <w:szCs w:val="24"/>
        </w:rPr>
        <w:t xml:space="preserve">l costs will place further financial strain on </w:t>
      </w:r>
      <w:r w:rsidR="00966D79" w:rsidRPr="00407C35">
        <w:rPr>
          <w:rFonts w:ascii="Arial" w:hAnsi="Arial" w:cs="Arial"/>
          <w:sz w:val="24"/>
          <w:szCs w:val="24"/>
        </w:rPr>
        <w:t>providers such as Vision Australia that already operate in a challenging environment</w:t>
      </w:r>
      <w:r w:rsidR="00F77878" w:rsidRPr="00407C35">
        <w:rPr>
          <w:rFonts w:ascii="Arial" w:hAnsi="Arial" w:cs="Arial"/>
          <w:sz w:val="24"/>
          <w:szCs w:val="24"/>
        </w:rPr>
        <w:t>. We therefore suggest tha</w:t>
      </w:r>
      <w:r w:rsidR="00AD641C" w:rsidRPr="00407C35">
        <w:rPr>
          <w:rFonts w:ascii="Arial" w:hAnsi="Arial" w:cs="Arial"/>
          <w:sz w:val="24"/>
          <w:szCs w:val="24"/>
        </w:rPr>
        <w:t xml:space="preserve">t eligibility </w:t>
      </w:r>
      <w:r w:rsidR="00A227B9" w:rsidRPr="00407C35">
        <w:rPr>
          <w:rFonts w:ascii="Arial" w:hAnsi="Arial" w:cs="Arial"/>
          <w:sz w:val="24"/>
          <w:szCs w:val="24"/>
        </w:rPr>
        <w:t xml:space="preserve">criteria for fee waivers should be expanded to include providers </w:t>
      </w:r>
      <w:r w:rsidR="006279E1" w:rsidRPr="00407C35">
        <w:rPr>
          <w:rFonts w:ascii="Arial" w:hAnsi="Arial" w:cs="Arial"/>
          <w:sz w:val="24"/>
          <w:szCs w:val="24"/>
        </w:rPr>
        <w:t xml:space="preserve">delivering </w:t>
      </w:r>
      <w:r w:rsidR="00A227B9" w:rsidRPr="00407C35">
        <w:rPr>
          <w:rFonts w:ascii="Arial" w:hAnsi="Arial" w:cs="Arial"/>
          <w:sz w:val="24"/>
          <w:szCs w:val="24"/>
        </w:rPr>
        <w:t>highly specialised disability services</w:t>
      </w:r>
      <w:r w:rsidR="006279E1" w:rsidRPr="00407C35">
        <w:rPr>
          <w:rFonts w:ascii="Arial" w:hAnsi="Arial" w:cs="Arial"/>
          <w:sz w:val="24"/>
          <w:szCs w:val="24"/>
        </w:rPr>
        <w:t xml:space="preserve"> to low incidence</w:t>
      </w:r>
      <w:r w:rsidR="0048321D" w:rsidRPr="00407C35">
        <w:rPr>
          <w:rFonts w:ascii="Arial" w:hAnsi="Arial" w:cs="Arial"/>
          <w:sz w:val="24"/>
          <w:szCs w:val="24"/>
        </w:rPr>
        <w:t xml:space="preserve"> diversity cohorts.</w:t>
      </w:r>
      <w:r w:rsidR="00A227B9" w:rsidRPr="00407C35">
        <w:rPr>
          <w:rFonts w:ascii="Arial" w:hAnsi="Arial" w:cs="Arial"/>
          <w:sz w:val="24"/>
          <w:szCs w:val="24"/>
        </w:rPr>
        <w:t xml:space="preserve"> </w:t>
      </w:r>
    </w:p>
    <w:p w14:paraId="0D03E743" w14:textId="145BD762" w:rsidR="00B85C43" w:rsidRDefault="00B85C43" w:rsidP="00027D67">
      <w:pPr>
        <w:pStyle w:val="Heading2"/>
      </w:pPr>
      <w:r>
        <w:t xml:space="preserve">Registration Renewal Fees </w:t>
      </w:r>
    </w:p>
    <w:p w14:paraId="36B120C4" w14:textId="686E24A9" w:rsidR="00B85C43" w:rsidRPr="00407C35" w:rsidRDefault="006D5166">
      <w:pPr>
        <w:rPr>
          <w:rFonts w:ascii="Arial" w:hAnsi="Arial" w:cs="Arial"/>
          <w:sz w:val="24"/>
          <w:szCs w:val="24"/>
        </w:rPr>
      </w:pPr>
      <w:r w:rsidRPr="00407C35">
        <w:rPr>
          <w:rFonts w:ascii="Arial" w:hAnsi="Arial" w:cs="Arial"/>
          <w:sz w:val="24"/>
          <w:szCs w:val="24"/>
        </w:rPr>
        <w:t>The consultation paper states that providers will be invited to commence renewal of their registration 18 months prior to its expiry, and that relevant fees will be payab</w:t>
      </w:r>
      <w:r w:rsidR="00361731" w:rsidRPr="00407C35">
        <w:rPr>
          <w:rFonts w:ascii="Arial" w:hAnsi="Arial" w:cs="Arial"/>
          <w:sz w:val="24"/>
          <w:szCs w:val="24"/>
        </w:rPr>
        <w:t>le</w:t>
      </w:r>
      <w:r w:rsidRPr="00407C35">
        <w:rPr>
          <w:rFonts w:ascii="Arial" w:hAnsi="Arial" w:cs="Arial"/>
          <w:sz w:val="24"/>
          <w:szCs w:val="24"/>
        </w:rPr>
        <w:t xml:space="preserve"> at this time. </w:t>
      </w:r>
      <w:r w:rsidR="00A36BEF" w:rsidRPr="00407C35">
        <w:rPr>
          <w:rFonts w:ascii="Arial" w:hAnsi="Arial" w:cs="Arial"/>
          <w:sz w:val="24"/>
          <w:szCs w:val="24"/>
        </w:rPr>
        <w:t xml:space="preserve">Vision Australia submits that this requirement as proposed in the consultation paper is unreasonable. The significant change associated with aged care reforms and the resultant volatility and cost pressures within the aged care sector may mean that it is difficult for providers to predict viability of registration renewal with such a significant lead time. </w:t>
      </w:r>
      <w:r w:rsidR="000F7B35" w:rsidRPr="00407C35">
        <w:rPr>
          <w:rFonts w:ascii="Arial" w:hAnsi="Arial" w:cs="Arial"/>
          <w:sz w:val="24"/>
          <w:szCs w:val="24"/>
        </w:rPr>
        <w:t>Providers could provide final confirmation of their intention to renew 3 months prior to registration expiry, with relevant fees to be payable at this time.</w:t>
      </w:r>
    </w:p>
    <w:p w14:paraId="1D662A8F" w14:textId="43FAA690" w:rsidR="00B85C43" w:rsidRPr="00407C35" w:rsidRDefault="00B85C43" w:rsidP="00407C35">
      <w:pPr>
        <w:pStyle w:val="Heading2"/>
      </w:pPr>
      <w:r>
        <w:t xml:space="preserve">Conclusion </w:t>
      </w:r>
    </w:p>
    <w:p w14:paraId="636AD2AF" w14:textId="57A7E855" w:rsidR="00B85C43" w:rsidRPr="00407C35" w:rsidRDefault="000F7B35">
      <w:pPr>
        <w:rPr>
          <w:rFonts w:ascii="Arial" w:hAnsi="Arial" w:cs="Arial"/>
          <w:sz w:val="24"/>
          <w:szCs w:val="24"/>
        </w:rPr>
      </w:pPr>
      <w:r w:rsidRPr="00407C35">
        <w:rPr>
          <w:rFonts w:ascii="Arial" w:hAnsi="Arial" w:cs="Arial"/>
          <w:sz w:val="24"/>
          <w:szCs w:val="24"/>
        </w:rPr>
        <w:t xml:space="preserve">Vision Australia thanks the Aged Care Quality and </w:t>
      </w:r>
      <w:r w:rsidR="00407C35">
        <w:rPr>
          <w:rFonts w:ascii="Arial" w:hAnsi="Arial" w:cs="Arial"/>
          <w:sz w:val="24"/>
          <w:szCs w:val="24"/>
        </w:rPr>
        <w:t>S</w:t>
      </w:r>
      <w:r w:rsidRPr="00407C35">
        <w:rPr>
          <w:rFonts w:ascii="Arial" w:hAnsi="Arial" w:cs="Arial"/>
          <w:sz w:val="24"/>
          <w:szCs w:val="24"/>
        </w:rPr>
        <w:t xml:space="preserve">afety Commission for its consideration of the feedback within this paper. We would be more than happy to provide further information concerning any of the matters raised. </w:t>
      </w:r>
    </w:p>
    <w:p w14:paraId="0EBA2A65" w14:textId="77777777" w:rsidR="00407C35" w:rsidRDefault="00407C35">
      <w:pPr>
        <w:rPr>
          <w:rFonts w:asciiTheme="majorHAnsi" w:eastAsiaTheme="majorEastAsia" w:hAnsiTheme="majorHAnsi" w:cstheme="majorBidi"/>
          <w:color w:val="0F4761" w:themeColor="accent1" w:themeShade="BF"/>
          <w:sz w:val="32"/>
          <w:szCs w:val="32"/>
        </w:rPr>
      </w:pPr>
      <w:r>
        <w:br w:type="page"/>
      </w:r>
    </w:p>
    <w:p w14:paraId="765E458F" w14:textId="27C6BFD6" w:rsidR="00DE6D5A" w:rsidRPr="008F2934" w:rsidRDefault="00DE6D5A" w:rsidP="00DE6D5A">
      <w:pPr>
        <w:pStyle w:val="Heading2"/>
      </w:pPr>
      <w:r w:rsidRPr="008F2934">
        <w:lastRenderedPageBreak/>
        <w:t>About Vision Australia</w:t>
      </w:r>
    </w:p>
    <w:p w14:paraId="199F757D" w14:textId="77777777" w:rsidR="00DE6D5A" w:rsidRPr="00407C35" w:rsidRDefault="00DE6D5A" w:rsidP="00DE6D5A">
      <w:pPr>
        <w:rPr>
          <w:rFonts w:ascii="Arial" w:hAnsi="Arial" w:cs="Arial"/>
          <w:sz w:val="24"/>
          <w:szCs w:val="24"/>
        </w:rPr>
      </w:pPr>
      <w:r w:rsidRPr="00407C35">
        <w:rPr>
          <w:rFonts w:ascii="Arial" w:hAnsi="Arial" w:cs="Arial"/>
          <w:sz w:val="24"/>
          <w:szCs w:val="24"/>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156AFDAD" w14:textId="77777777" w:rsidR="00DE6D5A" w:rsidRPr="00407C35" w:rsidRDefault="00DE6D5A" w:rsidP="00DE6D5A">
      <w:pPr>
        <w:rPr>
          <w:rFonts w:ascii="Arial" w:hAnsi="Arial" w:cs="Arial"/>
          <w:sz w:val="24"/>
          <w:szCs w:val="24"/>
        </w:rPr>
      </w:pPr>
      <w:r w:rsidRPr="00407C35">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44929157" w14:textId="77777777" w:rsidR="00DE6D5A" w:rsidRPr="00407C35" w:rsidRDefault="00DE6D5A" w:rsidP="00DE6D5A">
      <w:pPr>
        <w:rPr>
          <w:rFonts w:ascii="Arial" w:hAnsi="Arial" w:cs="Arial"/>
          <w:sz w:val="24"/>
          <w:szCs w:val="24"/>
        </w:rPr>
      </w:pPr>
      <w:r w:rsidRPr="00407C35">
        <w:rPr>
          <w:rFonts w:ascii="Arial" w:hAnsi="Arial" w:cs="Arial"/>
          <w:sz w:val="24"/>
          <w:szCs w:val="24"/>
        </w:rPr>
        <w:t>Vision Australia service delivery areas include:</w:t>
      </w:r>
    </w:p>
    <w:p w14:paraId="45DE98FC"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Allied Health and Therapy services, and registered provider of specialist supports for the NDIS and My Aged Care</w:t>
      </w:r>
    </w:p>
    <w:p w14:paraId="079FE859"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Aids and Equipment, and Assistive/Adaptive Technology training and support</w:t>
      </w:r>
    </w:p>
    <w:p w14:paraId="1CA147EB"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Seeing Eye Dogs</w:t>
      </w:r>
    </w:p>
    <w:p w14:paraId="7250D4F0"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National Library Services</w:t>
      </w:r>
    </w:p>
    <w:p w14:paraId="220601D6"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Early childhood and education services, and Felix Library for 0-7 year olds</w:t>
      </w:r>
    </w:p>
    <w:p w14:paraId="5B8131F4"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 xml:space="preserve">Employment services, including National Disability Employment Services </w:t>
      </w:r>
    </w:p>
    <w:p w14:paraId="066634DC"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Accessible information, and Alternate Format Production</w:t>
      </w:r>
    </w:p>
    <w:p w14:paraId="1A069FE2"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Vision Australia Radio network, and national partnership with Radio for the Print Handicapped</w:t>
      </w:r>
    </w:p>
    <w:p w14:paraId="0B307147" w14:textId="77777777" w:rsidR="00DE6D5A" w:rsidRPr="00407C35"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Spectacles Program for the NSW Government</w:t>
      </w:r>
    </w:p>
    <w:p w14:paraId="5C7671E7" w14:textId="77777777" w:rsidR="00DE6D5A" w:rsidRDefault="00DE6D5A" w:rsidP="00407C35">
      <w:pPr>
        <w:numPr>
          <w:ilvl w:val="0"/>
          <w:numId w:val="1"/>
        </w:numPr>
        <w:spacing w:after="0" w:line="240" w:lineRule="auto"/>
        <w:ind w:left="357" w:hanging="357"/>
        <w:contextualSpacing/>
        <w:rPr>
          <w:rFonts w:ascii="Arial" w:hAnsi="Arial" w:cs="Arial"/>
          <w:sz w:val="24"/>
          <w:szCs w:val="24"/>
        </w:rPr>
      </w:pPr>
      <w:r w:rsidRPr="00407C35">
        <w:rPr>
          <w:rFonts w:ascii="Arial" w:hAnsi="Arial" w:cs="Arial"/>
          <w:sz w:val="24"/>
          <w:szCs w:val="24"/>
        </w:rPr>
        <w:t>Advocacy and Engagement, working collaboratively with Government, business and the community to eliminate the barriers our clients face in making life choices and fully exercising rights as Australian citizens.</w:t>
      </w:r>
    </w:p>
    <w:p w14:paraId="11F302C4" w14:textId="77777777" w:rsidR="00407C35" w:rsidRPr="00407C35" w:rsidRDefault="00407C35" w:rsidP="00407C35">
      <w:pPr>
        <w:spacing w:after="0" w:line="240" w:lineRule="auto"/>
        <w:ind w:left="357"/>
        <w:contextualSpacing/>
        <w:rPr>
          <w:rFonts w:ascii="Arial" w:hAnsi="Arial" w:cs="Arial"/>
          <w:sz w:val="24"/>
          <w:szCs w:val="24"/>
        </w:rPr>
      </w:pPr>
    </w:p>
    <w:p w14:paraId="46FCA533" w14:textId="77777777" w:rsidR="00DE6D5A" w:rsidRPr="00407C35" w:rsidRDefault="00DE6D5A" w:rsidP="00DE6D5A">
      <w:pPr>
        <w:rPr>
          <w:rFonts w:ascii="Arial" w:hAnsi="Arial" w:cs="Arial"/>
          <w:sz w:val="24"/>
          <w:szCs w:val="24"/>
        </w:rPr>
      </w:pPr>
      <w:r w:rsidRPr="00407C35">
        <w:rPr>
          <w:rFonts w:ascii="Arial" w:hAnsi="Arial" w:cs="Arial"/>
          <w:sz w:val="24"/>
          <w:szCs w:val="24"/>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655A8026" w14:textId="77777777" w:rsidR="00DE6D5A" w:rsidRPr="00407C35" w:rsidRDefault="00DE6D5A" w:rsidP="00DE6D5A">
      <w:pPr>
        <w:rPr>
          <w:rFonts w:ascii="Arial" w:hAnsi="Arial" w:cs="Arial"/>
          <w:sz w:val="24"/>
          <w:szCs w:val="24"/>
        </w:rPr>
      </w:pPr>
      <w:r w:rsidRPr="00407C35">
        <w:rPr>
          <w:rFonts w:ascii="Arial" w:hAnsi="Arial" w:cs="Arial"/>
          <w:sz w:val="24"/>
          <w:szCs w:val="24"/>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5BF31DDA" w14:textId="77777777" w:rsidR="00DE6D5A" w:rsidRPr="00407C35" w:rsidRDefault="00DE6D5A" w:rsidP="00DE6D5A">
      <w:pPr>
        <w:rPr>
          <w:rFonts w:ascii="Arial" w:hAnsi="Arial" w:cs="Arial"/>
          <w:sz w:val="24"/>
          <w:szCs w:val="24"/>
        </w:rPr>
      </w:pPr>
      <w:r w:rsidRPr="00407C35">
        <w:rPr>
          <w:rFonts w:ascii="Arial" w:hAnsi="Arial" w:cs="Arial"/>
          <w:sz w:val="24"/>
          <w:szCs w:val="24"/>
        </w:rPr>
        <w:t>We also operate Memorandums of Understanding with Australian Hearing, and the Aboriginal &amp; Torres Strait Islander Community Health Service.</w:t>
      </w:r>
    </w:p>
    <w:p w14:paraId="18CD0B31" w14:textId="77777777" w:rsidR="00DE6D5A" w:rsidRPr="008F2934" w:rsidRDefault="00DE6D5A" w:rsidP="00DE6D5A"/>
    <w:p w14:paraId="0D3305DC" w14:textId="77777777" w:rsidR="00DE6D5A" w:rsidRDefault="00DE6D5A" w:rsidP="00DE6D5A"/>
    <w:p w14:paraId="1B3A4AE8" w14:textId="77777777" w:rsidR="000F7B35" w:rsidRDefault="000F7B35"/>
    <w:sectPr w:rsidR="000F7B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7D8B" w14:textId="77777777" w:rsidR="00FB2984" w:rsidRDefault="00FB2984" w:rsidP="00FB2984">
      <w:pPr>
        <w:spacing w:after="0" w:line="240" w:lineRule="auto"/>
      </w:pPr>
      <w:r>
        <w:separator/>
      </w:r>
    </w:p>
  </w:endnote>
  <w:endnote w:type="continuationSeparator" w:id="0">
    <w:p w14:paraId="7768C727" w14:textId="77777777" w:rsidR="00FB2984" w:rsidRDefault="00FB2984" w:rsidP="00FB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B9BF" w14:textId="77777777" w:rsidR="00FB2984" w:rsidRDefault="00FB2984" w:rsidP="00FB2984">
      <w:pPr>
        <w:spacing w:after="0" w:line="240" w:lineRule="auto"/>
      </w:pPr>
      <w:r>
        <w:separator/>
      </w:r>
    </w:p>
  </w:footnote>
  <w:footnote w:type="continuationSeparator" w:id="0">
    <w:p w14:paraId="096D378C" w14:textId="77777777" w:rsidR="00FB2984" w:rsidRDefault="00FB2984" w:rsidP="00FB2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F6D"/>
    <w:multiLevelType w:val="hybridMultilevel"/>
    <w:tmpl w:val="ACE8D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5670044"/>
    <w:multiLevelType w:val="hybridMultilevel"/>
    <w:tmpl w:val="99D29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98243477">
    <w:abstractNumId w:val="1"/>
  </w:num>
  <w:num w:numId="2" w16cid:durableId="56938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7E"/>
    <w:rsid w:val="00027D67"/>
    <w:rsid w:val="0003424D"/>
    <w:rsid w:val="000609ED"/>
    <w:rsid w:val="00086861"/>
    <w:rsid w:val="000B5278"/>
    <w:rsid w:val="000F7B35"/>
    <w:rsid w:val="00195FF2"/>
    <w:rsid w:val="001E5826"/>
    <w:rsid w:val="001E7007"/>
    <w:rsid w:val="00361731"/>
    <w:rsid w:val="00372382"/>
    <w:rsid w:val="003C6290"/>
    <w:rsid w:val="003F042F"/>
    <w:rsid w:val="00407C35"/>
    <w:rsid w:val="00433AA2"/>
    <w:rsid w:val="00450D8E"/>
    <w:rsid w:val="0048321D"/>
    <w:rsid w:val="005E2DEC"/>
    <w:rsid w:val="005E5588"/>
    <w:rsid w:val="006279E1"/>
    <w:rsid w:val="00692CB9"/>
    <w:rsid w:val="006B5DB0"/>
    <w:rsid w:val="006C7D10"/>
    <w:rsid w:val="006D5166"/>
    <w:rsid w:val="006E1289"/>
    <w:rsid w:val="00720357"/>
    <w:rsid w:val="0078263C"/>
    <w:rsid w:val="007D7791"/>
    <w:rsid w:val="008772CE"/>
    <w:rsid w:val="008C5585"/>
    <w:rsid w:val="008E67EA"/>
    <w:rsid w:val="00966D79"/>
    <w:rsid w:val="009A443A"/>
    <w:rsid w:val="00A227B9"/>
    <w:rsid w:val="00A36BEF"/>
    <w:rsid w:val="00A864A7"/>
    <w:rsid w:val="00AD641C"/>
    <w:rsid w:val="00B0448E"/>
    <w:rsid w:val="00B85C43"/>
    <w:rsid w:val="00BA3D6A"/>
    <w:rsid w:val="00BA510F"/>
    <w:rsid w:val="00BB4A0E"/>
    <w:rsid w:val="00CE606D"/>
    <w:rsid w:val="00D54C4C"/>
    <w:rsid w:val="00D6041D"/>
    <w:rsid w:val="00DC71ED"/>
    <w:rsid w:val="00DD4CE6"/>
    <w:rsid w:val="00DE6D5A"/>
    <w:rsid w:val="00E6068C"/>
    <w:rsid w:val="00E7240A"/>
    <w:rsid w:val="00E754C1"/>
    <w:rsid w:val="00E839B1"/>
    <w:rsid w:val="00F0067E"/>
    <w:rsid w:val="00F77878"/>
    <w:rsid w:val="00FB29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B4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0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0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7E"/>
    <w:rPr>
      <w:rFonts w:eastAsiaTheme="majorEastAsia" w:cstheme="majorBidi"/>
      <w:color w:val="272727" w:themeColor="text1" w:themeTint="D8"/>
    </w:rPr>
  </w:style>
  <w:style w:type="paragraph" w:styleId="Title">
    <w:name w:val="Title"/>
    <w:basedOn w:val="Normal"/>
    <w:next w:val="Normal"/>
    <w:link w:val="TitleChar"/>
    <w:uiPriority w:val="10"/>
    <w:qFormat/>
    <w:rsid w:val="00F00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7E"/>
    <w:pPr>
      <w:spacing w:before="160"/>
      <w:jc w:val="center"/>
    </w:pPr>
    <w:rPr>
      <w:i/>
      <w:iCs/>
      <w:color w:val="404040" w:themeColor="text1" w:themeTint="BF"/>
    </w:rPr>
  </w:style>
  <w:style w:type="character" w:customStyle="1" w:styleId="QuoteChar">
    <w:name w:val="Quote Char"/>
    <w:basedOn w:val="DefaultParagraphFont"/>
    <w:link w:val="Quote"/>
    <w:uiPriority w:val="29"/>
    <w:rsid w:val="00F0067E"/>
    <w:rPr>
      <w:i/>
      <w:iCs/>
      <w:color w:val="404040" w:themeColor="text1" w:themeTint="BF"/>
    </w:rPr>
  </w:style>
  <w:style w:type="paragraph" w:styleId="ListParagraph">
    <w:name w:val="List Paragraph"/>
    <w:basedOn w:val="Normal"/>
    <w:uiPriority w:val="34"/>
    <w:qFormat/>
    <w:rsid w:val="00F0067E"/>
    <w:pPr>
      <w:ind w:left="720"/>
      <w:contextualSpacing/>
    </w:pPr>
  </w:style>
  <w:style w:type="character" w:styleId="IntenseEmphasis">
    <w:name w:val="Intense Emphasis"/>
    <w:basedOn w:val="DefaultParagraphFont"/>
    <w:uiPriority w:val="21"/>
    <w:qFormat/>
    <w:rsid w:val="00F0067E"/>
    <w:rPr>
      <w:i/>
      <w:iCs/>
      <w:color w:val="0F4761" w:themeColor="accent1" w:themeShade="BF"/>
    </w:rPr>
  </w:style>
  <w:style w:type="paragraph" w:styleId="IntenseQuote">
    <w:name w:val="Intense Quote"/>
    <w:basedOn w:val="Normal"/>
    <w:next w:val="Normal"/>
    <w:link w:val="IntenseQuoteChar"/>
    <w:uiPriority w:val="30"/>
    <w:qFormat/>
    <w:rsid w:val="00F00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67E"/>
    <w:rPr>
      <w:i/>
      <w:iCs/>
      <w:color w:val="0F4761" w:themeColor="accent1" w:themeShade="BF"/>
    </w:rPr>
  </w:style>
  <w:style w:type="character" w:styleId="IntenseReference">
    <w:name w:val="Intense Reference"/>
    <w:basedOn w:val="DefaultParagraphFont"/>
    <w:uiPriority w:val="32"/>
    <w:qFormat/>
    <w:rsid w:val="00F0067E"/>
    <w:rPr>
      <w:b/>
      <w:bCs/>
      <w:smallCaps/>
      <w:color w:val="0F4761" w:themeColor="accent1" w:themeShade="BF"/>
      <w:spacing w:val="5"/>
    </w:rPr>
  </w:style>
  <w:style w:type="paragraph" w:styleId="Header">
    <w:name w:val="header"/>
    <w:basedOn w:val="Normal"/>
    <w:link w:val="HeaderChar"/>
    <w:uiPriority w:val="99"/>
    <w:unhideWhenUsed/>
    <w:rsid w:val="00FB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984"/>
  </w:style>
  <w:style w:type="paragraph" w:styleId="Footer">
    <w:name w:val="footer"/>
    <w:basedOn w:val="Normal"/>
    <w:link w:val="FooterChar"/>
    <w:uiPriority w:val="99"/>
    <w:unhideWhenUsed/>
    <w:rsid w:val="00FB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07234-2161-40B0-9A2A-E32BC6E8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2026-02-13T01:58:00Z</dcterms:created>
  <dcterms:modified xsi:type="dcterms:W3CDTF">2026-02-13T01:58:00Z</dcterms:modified>
</cp:coreProperties>
</file>