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07F6" w14:textId="77777777" w:rsidR="00CD4CE7" w:rsidRDefault="00CD4CE7" w:rsidP="00CD4CE7">
      <w:r>
        <w:rPr>
          <w:noProof/>
          <w:lang w:eastAsia="en-AU"/>
        </w:rPr>
        <w:drawing>
          <wp:anchor distT="0" distB="0" distL="114300" distR="114300" simplePos="0" relativeHeight="251659264" behindDoc="0" locked="0" layoutInCell="1" allowOverlap="1" wp14:anchorId="512A25AD" wp14:editId="58F43D3B">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9333133" w14:textId="77777777" w:rsidR="00CD4CE7" w:rsidRDefault="00CD4CE7" w:rsidP="00CD4CE7">
      <w:pPr>
        <w:pStyle w:val="Title"/>
      </w:pPr>
    </w:p>
    <w:p w14:paraId="5BF33A48" w14:textId="77777777" w:rsidR="00CD4CE7" w:rsidRDefault="00CD4CE7" w:rsidP="00CD4CE7">
      <w:pPr>
        <w:pStyle w:val="Title"/>
      </w:pPr>
    </w:p>
    <w:p w14:paraId="1D0FC44F" w14:textId="20A6216C" w:rsidR="00CD4CE7" w:rsidRPr="007A2F59" w:rsidRDefault="00CD4CE7" w:rsidP="00CD4CE7">
      <w:pPr>
        <w:pStyle w:val="Title"/>
        <w:spacing w:after="0"/>
        <w:jc w:val="both"/>
        <w:rPr>
          <w:b/>
          <w:bCs/>
          <w:sz w:val="40"/>
          <w:szCs w:val="40"/>
        </w:rPr>
      </w:pPr>
      <w:r w:rsidRPr="007A2F59">
        <w:rPr>
          <w:b/>
          <w:bCs/>
          <w:sz w:val="40"/>
          <w:szCs w:val="40"/>
        </w:rPr>
        <w:t xml:space="preserve">Vision Australia Submission: </w:t>
      </w:r>
      <w:r w:rsidR="00066CBD">
        <w:rPr>
          <w:b/>
          <w:bCs/>
          <w:sz w:val="40"/>
          <w:szCs w:val="40"/>
        </w:rPr>
        <w:t xml:space="preserve">NDIS Supports </w:t>
      </w:r>
      <w:r w:rsidR="00864BF0">
        <w:rPr>
          <w:b/>
          <w:bCs/>
          <w:sz w:val="40"/>
          <w:szCs w:val="40"/>
        </w:rPr>
        <w:t>r</w:t>
      </w:r>
      <w:r w:rsidR="00066CBD">
        <w:rPr>
          <w:b/>
          <w:bCs/>
          <w:sz w:val="40"/>
          <w:szCs w:val="40"/>
        </w:rPr>
        <w:t xml:space="preserve">ules consultation </w:t>
      </w:r>
    </w:p>
    <w:p w14:paraId="00EAD09D" w14:textId="77777777" w:rsidR="00CD4CE7" w:rsidRPr="007A2F59" w:rsidRDefault="00CD4CE7" w:rsidP="00CD4CE7">
      <w:pPr>
        <w:spacing w:after="0" w:line="240" w:lineRule="auto"/>
        <w:contextualSpacing/>
        <w:jc w:val="both"/>
      </w:pPr>
    </w:p>
    <w:p w14:paraId="4B51B634" w14:textId="77777777" w:rsidR="00CD4CE7" w:rsidRPr="00A15D22" w:rsidRDefault="00CD4CE7" w:rsidP="00CD4CE7">
      <w:pPr>
        <w:spacing w:after="0" w:line="240" w:lineRule="auto"/>
        <w:contextualSpacing/>
        <w:jc w:val="both"/>
        <w:rPr>
          <w:rFonts w:ascii="Arial" w:hAnsi="Arial" w:cs="Arial"/>
          <w:sz w:val="28"/>
          <w:szCs w:val="28"/>
        </w:rPr>
      </w:pPr>
      <w:r w:rsidRPr="00A15D22">
        <w:rPr>
          <w:rFonts w:ascii="Arial" w:hAnsi="Arial" w:cs="Arial"/>
          <w:sz w:val="28"/>
          <w:szCs w:val="28"/>
        </w:rPr>
        <w:t xml:space="preserve">Submitted to: </w:t>
      </w:r>
      <w:r>
        <w:rPr>
          <w:rFonts w:ascii="Arial" w:hAnsi="Arial" w:cs="Arial"/>
          <w:sz w:val="28"/>
          <w:szCs w:val="28"/>
        </w:rPr>
        <w:t>Department of Social Services</w:t>
      </w:r>
    </w:p>
    <w:p w14:paraId="18C7D850" w14:textId="77777777" w:rsidR="00CD4CE7" w:rsidRDefault="00CD4CE7" w:rsidP="00CD4CE7">
      <w:pPr>
        <w:spacing w:after="0" w:line="240" w:lineRule="auto"/>
        <w:contextualSpacing/>
        <w:jc w:val="both"/>
        <w:rPr>
          <w:rFonts w:ascii="Arial" w:hAnsi="Arial" w:cs="Arial"/>
          <w:sz w:val="28"/>
          <w:szCs w:val="28"/>
        </w:rPr>
      </w:pPr>
    </w:p>
    <w:p w14:paraId="45C237D3" w14:textId="778EFD2E" w:rsidR="00CD4CE7" w:rsidRPr="00A15D22" w:rsidRDefault="00CD4CE7" w:rsidP="00CD4CE7">
      <w:pPr>
        <w:spacing w:after="0" w:line="240" w:lineRule="auto"/>
        <w:contextualSpacing/>
        <w:jc w:val="both"/>
        <w:rPr>
          <w:rFonts w:ascii="Arial" w:hAnsi="Arial" w:cs="Arial"/>
          <w:sz w:val="28"/>
          <w:szCs w:val="28"/>
        </w:rPr>
      </w:pPr>
      <w:r w:rsidRPr="00A15D22">
        <w:rPr>
          <w:rFonts w:ascii="Arial" w:hAnsi="Arial" w:cs="Arial"/>
          <w:sz w:val="28"/>
          <w:szCs w:val="28"/>
        </w:rPr>
        <w:t xml:space="preserve">Date: </w:t>
      </w:r>
      <w:r>
        <w:rPr>
          <w:rFonts w:ascii="Arial" w:hAnsi="Arial" w:cs="Arial"/>
          <w:sz w:val="28"/>
          <w:szCs w:val="28"/>
        </w:rPr>
        <w:t>2</w:t>
      </w:r>
      <w:r w:rsidR="00F82DBD">
        <w:rPr>
          <w:rFonts w:ascii="Arial" w:hAnsi="Arial" w:cs="Arial"/>
          <w:sz w:val="28"/>
          <w:szCs w:val="28"/>
        </w:rPr>
        <w:t>4</w:t>
      </w:r>
      <w:r>
        <w:rPr>
          <w:rFonts w:ascii="Arial" w:hAnsi="Arial" w:cs="Arial"/>
          <w:sz w:val="28"/>
          <w:szCs w:val="28"/>
        </w:rPr>
        <w:t xml:space="preserve"> </w:t>
      </w:r>
      <w:r w:rsidR="00F82DBD">
        <w:rPr>
          <w:rFonts w:ascii="Arial" w:hAnsi="Arial" w:cs="Arial"/>
          <w:sz w:val="28"/>
          <w:szCs w:val="28"/>
        </w:rPr>
        <w:t>July</w:t>
      </w:r>
      <w:r>
        <w:rPr>
          <w:rFonts w:ascii="Arial" w:hAnsi="Arial" w:cs="Arial"/>
          <w:sz w:val="28"/>
          <w:szCs w:val="28"/>
        </w:rPr>
        <w:t xml:space="preserve"> </w:t>
      </w:r>
      <w:r w:rsidRPr="00A15D22">
        <w:rPr>
          <w:rFonts w:ascii="Arial" w:hAnsi="Arial" w:cs="Arial"/>
          <w:sz w:val="28"/>
          <w:szCs w:val="28"/>
        </w:rPr>
        <w:t>202</w:t>
      </w:r>
      <w:r w:rsidR="00F82DBD">
        <w:rPr>
          <w:rFonts w:ascii="Arial" w:hAnsi="Arial" w:cs="Arial"/>
          <w:sz w:val="28"/>
          <w:szCs w:val="28"/>
        </w:rPr>
        <w:t>5</w:t>
      </w:r>
    </w:p>
    <w:p w14:paraId="46E46D6C" w14:textId="77777777" w:rsidR="00CD4CE7" w:rsidRDefault="00CD4CE7" w:rsidP="00CD4CE7">
      <w:pPr>
        <w:pBdr>
          <w:bottom w:val="single" w:sz="6" w:space="1" w:color="auto"/>
        </w:pBdr>
        <w:spacing w:after="0" w:line="240" w:lineRule="auto"/>
        <w:contextualSpacing/>
        <w:jc w:val="both"/>
        <w:rPr>
          <w:rFonts w:ascii="Arial" w:hAnsi="Arial" w:cs="Arial"/>
          <w:sz w:val="28"/>
          <w:szCs w:val="28"/>
        </w:rPr>
      </w:pPr>
    </w:p>
    <w:p w14:paraId="4446A4EC" w14:textId="21CBFECA" w:rsidR="00CD4CE7" w:rsidRDefault="00CD4CE7" w:rsidP="00CD4CE7">
      <w:pPr>
        <w:pBdr>
          <w:bottom w:val="single" w:sz="6" w:space="1" w:color="auto"/>
        </w:pBdr>
        <w:spacing w:after="0" w:line="240" w:lineRule="auto"/>
        <w:contextualSpacing/>
        <w:jc w:val="both"/>
        <w:rPr>
          <w:rFonts w:ascii="Arial" w:hAnsi="Arial" w:cs="Arial"/>
          <w:sz w:val="28"/>
          <w:szCs w:val="28"/>
        </w:rPr>
      </w:pPr>
      <w:r w:rsidRPr="00A15D22">
        <w:rPr>
          <w:rFonts w:ascii="Arial" w:hAnsi="Arial" w:cs="Arial"/>
          <w:sz w:val="28"/>
          <w:szCs w:val="28"/>
        </w:rPr>
        <w:t xml:space="preserve">Submission approved by: Chris Edwards, </w:t>
      </w:r>
      <w:r w:rsidR="00A24742">
        <w:rPr>
          <w:rFonts w:ascii="Arial" w:hAnsi="Arial" w:cs="Arial"/>
          <w:sz w:val="28"/>
          <w:szCs w:val="28"/>
        </w:rPr>
        <w:t xml:space="preserve">General </w:t>
      </w:r>
      <w:r w:rsidR="00F82DBD">
        <w:rPr>
          <w:rFonts w:ascii="Arial" w:hAnsi="Arial" w:cs="Arial"/>
          <w:sz w:val="28"/>
          <w:szCs w:val="28"/>
        </w:rPr>
        <w:t xml:space="preserve">Manager </w:t>
      </w:r>
      <w:r w:rsidR="00A24742">
        <w:rPr>
          <w:rFonts w:ascii="Arial" w:hAnsi="Arial" w:cs="Arial"/>
          <w:sz w:val="28"/>
          <w:szCs w:val="28"/>
        </w:rPr>
        <w:t>C</w:t>
      </w:r>
      <w:r w:rsidR="00F82DBD">
        <w:rPr>
          <w:rFonts w:ascii="Arial" w:hAnsi="Arial" w:cs="Arial"/>
          <w:sz w:val="28"/>
          <w:szCs w:val="28"/>
        </w:rPr>
        <w:t xml:space="preserve">orporate Affairs </w:t>
      </w:r>
      <w:r w:rsidR="00A24742">
        <w:rPr>
          <w:rFonts w:ascii="Arial" w:hAnsi="Arial" w:cs="Arial"/>
          <w:sz w:val="28"/>
          <w:szCs w:val="28"/>
        </w:rPr>
        <w:t>and Advocacy</w:t>
      </w:r>
    </w:p>
    <w:p w14:paraId="6531BFA8" w14:textId="77777777" w:rsidR="00CD4CE7" w:rsidRPr="00CA6F01" w:rsidRDefault="00CD4CE7" w:rsidP="00CD4CE7">
      <w:pPr>
        <w:pBdr>
          <w:bottom w:val="single" w:sz="6" w:space="1" w:color="auto"/>
        </w:pBdr>
        <w:jc w:val="both"/>
        <w:rPr>
          <w:rFonts w:ascii="Arial" w:hAnsi="Arial" w:cs="Arial"/>
          <w:sz w:val="28"/>
          <w:szCs w:val="28"/>
        </w:rPr>
      </w:pPr>
    </w:p>
    <w:p w14:paraId="40928CA3" w14:textId="77777777" w:rsidR="00CD4CE7" w:rsidRPr="00480C53" w:rsidRDefault="00CD4CE7" w:rsidP="00CD4CE7">
      <w:pPr>
        <w:spacing w:after="0" w:line="240" w:lineRule="auto"/>
        <w:rPr>
          <w:rFonts w:eastAsia="Times New Roman"/>
          <w:b/>
          <w:sz w:val="40"/>
          <w:szCs w:val="40"/>
        </w:rPr>
      </w:pPr>
      <w:r>
        <w:br w:type="page"/>
      </w:r>
    </w:p>
    <w:p w14:paraId="5842D883" w14:textId="77777777" w:rsidR="00CD4CE7" w:rsidRDefault="00CD4CE7" w:rsidP="00BE4C33">
      <w:pPr>
        <w:pStyle w:val="Heading1"/>
      </w:pPr>
    </w:p>
    <w:p w14:paraId="3281FDBA" w14:textId="2AB66479" w:rsidR="00400074" w:rsidRDefault="00400074" w:rsidP="00BE4C33">
      <w:pPr>
        <w:pStyle w:val="Heading1"/>
      </w:pPr>
      <w:r>
        <w:t xml:space="preserve">Vision Australia </w:t>
      </w:r>
      <w:r w:rsidR="002222DD">
        <w:t xml:space="preserve">Submission: </w:t>
      </w:r>
      <w:r>
        <w:t>NDIS Support</w:t>
      </w:r>
      <w:r w:rsidR="002222DD">
        <w:t>s</w:t>
      </w:r>
      <w:r>
        <w:t xml:space="preserve"> </w:t>
      </w:r>
      <w:r w:rsidR="00864BF0">
        <w:t>r</w:t>
      </w:r>
      <w:r>
        <w:t xml:space="preserve">ules </w:t>
      </w:r>
      <w:r w:rsidR="002222DD">
        <w:t xml:space="preserve">Consultation </w:t>
      </w:r>
    </w:p>
    <w:p w14:paraId="5083005B" w14:textId="39E19634" w:rsidR="00400074" w:rsidRDefault="00400074">
      <w:r>
        <w:t xml:space="preserve">Prepared by Caitlin McMorrow, NDIS and Aged Care Funding Specialist Lead </w:t>
      </w:r>
    </w:p>
    <w:p w14:paraId="68422419" w14:textId="77777777" w:rsidR="00400074" w:rsidRDefault="00400074"/>
    <w:p w14:paraId="3F950A78" w14:textId="43586E08" w:rsidR="00400074" w:rsidRDefault="00400074" w:rsidP="00BE4C33">
      <w:pPr>
        <w:pStyle w:val="Heading2"/>
      </w:pPr>
      <w:r>
        <w:t xml:space="preserve">Introduction </w:t>
      </w:r>
    </w:p>
    <w:p w14:paraId="0A86A0DA" w14:textId="26BB7EB5" w:rsidR="00195FF2" w:rsidRDefault="00400074">
      <w:r>
        <w:t xml:space="preserve">Vision Australia </w:t>
      </w:r>
      <w:r w:rsidR="00123E39">
        <w:t xml:space="preserve">appreciates </w:t>
      </w:r>
      <w:r>
        <w:t xml:space="preserve">the opportunity to provide this submission to the Department of Social Services as part of its consultation on the development of the NDIS Supports </w:t>
      </w:r>
      <w:r w:rsidR="00A24742">
        <w:t>r</w:t>
      </w:r>
      <w:r>
        <w:t xml:space="preserve">ules under Section 10 of the NDIS Act. The interim NDIS Supports </w:t>
      </w:r>
      <w:r w:rsidR="00A24742">
        <w:t>r</w:t>
      </w:r>
      <w:r>
        <w:t xml:space="preserve">ules have provided increased </w:t>
      </w:r>
      <w:r w:rsidR="00277E17">
        <w:t xml:space="preserve">and much welcomed </w:t>
      </w:r>
      <w:r>
        <w:t>clarity as to the types of products and services which can and cannot be funded by the Scheme</w:t>
      </w:r>
      <w:r w:rsidR="009032F1">
        <w:t>.</w:t>
      </w:r>
      <w:r>
        <w:t xml:space="preserve"> </w:t>
      </w:r>
      <w:r w:rsidR="009032F1">
        <w:t>However</w:t>
      </w:r>
      <w:r>
        <w:t>, the prescriptive nature of the</w:t>
      </w:r>
      <w:r w:rsidR="000A7CCF">
        <w:t xml:space="preserve"> list of supports that are NDIS Supports (the Included Supports List) and the list of supports that are not NDIS Supports (the Excluded Supports </w:t>
      </w:r>
      <w:r w:rsidR="009032F1">
        <w:t>List) (</w:t>
      </w:r>
      <w:r w:rsidR="000A7CCF">
        <w:t xml:space="preserve">collectively the Support Lists) </w:t>
      </w:r>
      <w:r>
        <w:t>ha</w:t>
      </w:r>
      <w:r w:rsidR="00A119BB">
        <w:t>s</w:t>
      </w:r>
      <w:r>
        <w:t xml:space="preserve">, in some cases, resulted in reduced access to supports. Additionally, there continues to be ongoing confusion for providers and participants, particularly concerning </w:t>
      </w:r>
      <w:proofErr w:type="spellStart"/>
      <w:r>
        <w:t>everyday</w:t>
      </w:r>
      <w:proofErr w:type="spellEnd"/>
      <w:r>
        <w:t xml:space="preserve"> and household items and </w:t>
      </w:r>
      <w:r w:rsidR="00490E48">
        <w:t>the replacement supports process. W</w:t>
      </w:r>
      <w:r>
        <w:t xml:space="preserve">e are hopeful that </w:t>
      </w:r>
      <w:r w:rsidR="008E2AF0">
        <w:t xml:space="preserve">these issues can </w:t>
      </w:r>
      <w:r>
        <w:t xml:space="preserve">be addressed through further refinement of the </w:t>
      </w:r>
      <w:r w:rsidR="00A24742">
        <w:t>r</w:t>
      </w:r>
      <w:r>
        <w:t>ules.</w:t>
      </w:r>
    </w:p>
    <w:p w14:paraId="5B23EE99" w14:textId="25B1986F" w:rsidR="00BF498F" w:rsidRDefault="00BF498F" w:rsidP="005F07A9">
      <w:pPr>
        <w:pStyle w:val="Heading2"/>
      </w:pPr>
      <w:r>
        <w:t xml:space="preserve">Recommendations </w:t>
      </w:r>
    </w:p>
    <w:p w14:paraId="1AF292DD" w14:textId="65F33286" w:rsidR="00BF498F" w:rsidRDefault="00C81996" w:rsidP="001D59A6">
      <w:pPr>
        <w:pStyle w:val="ListParagraph"/>
        <w:numPr>
          <w:ilvl w:val="0"/>
          <w:numId w:val="2"/>
        </w:numPr>
      </w:pPr>
      <w:r>
        <w:t>Braille and tactile watches, as well as communication devices designed specifically for people with disability should be a stated inclusion on the</w:t>
      </w:r>
      <w:r w:rsidR="000A7CCF">
        <w:t xml:space="preserve"> Included Supports List</w:t>
      </w:r>
      <w:r>
        <w:t>.</w:t>
      </w:r>
    </w:p>
    <w:p w14:paraId="7900C879" w14:textId="79C21CDC" w:rsidR="00C81996" w:rsidRDefault="00B24498" w:rsidP="001D59A6">
      <w:pPr>
        <w:pStyle w:val="ListParagraph"/>
        <w:numPr>
          <w:ilvl w:val="0"/>
          <w:numId w:val="2"/>
        </w:numPr>
      </w:pPr>
      <w:r>
        <w:t xml:space="preserve">Pet insurance for funded assistance animals should be </w:t>
      </w:r>
      <w:r w:rsidR="00104D74">
        <w:t>added to</w:t>
      </w:r>
      <w:r>
        <w:t xml:space="preserve"> the </w:t>
      </w:r>
      <w:r w:rsidR="000A7CCF">
        <w:t xml:space="preserve">Included </w:t>
      </w:r>
      <w:r w:rsidR="00C17ADD">
        <w:t>Support</w:t>
      </w:r>
      <w:r w:rsidR="000A7CCF">
        <w:t>s</w:t>
      </w:r>
      <w:r w:rsidR="00C17ADD">
        <w:t xml:space="preserve"> List</w:t>
      </w:r>
      <w:r>
        <w:t>. Alternatively, an exception could be provided under the category of Pet-Related Day-To-Day Living Costs</w:t>
      </w:r>
      <w:r w:rsidR="009032F1">
        <w:t xml:space="preserve"> on the Exclu</w:t>
      </w:r>
      <w:r w:rsidR="005139E4">
        <w:t>ded Supports</w:t>
      </w:r>
      <w:r w:rsidR="009032F1">
        <w:t xml:space="preserve"> List</w:t>
      </w:r>
      <w:r>
        <w:t>, clarifying that pet insurance may be funded for approved NDIS assistance animals.</w:t>
      </w:r>
    </w:p>
    <w:p w14:paraId="06F564B9" w14:textId="57AC37E7" w:rsidR="009C4C03" w:rsidRDefault="00907F18" w:rsidP="001D59A6">
      <w:pPr>
        <w:pStyle w:val="ListParagraph"/>
        <w:numPr>
          <w:ilvl w:val="0"/>
          <w:numId w:val="2"/>
        </w:numPr>
      </w:pPr>
      <w:r>
        <w:t>T</w:t>
      </w:r>
      <w:r w:rsidR="009C4C03">
        <w:t xml:space="preserve">here is a need for additional guidance to support consistent interpretation of the </w:t>
      </w:r>
      <w:r w:rsidR="00C17ADD">
        <w:t>Support List</w:t>
      </w:r>
      <w:r w:rsidR="000A7CCF">
        <w:t>s</w:t>
      </w:r>
      <w:r w:rsidR="009C4C03">
        <w:t xml:space="preserve"> at all operational levels of the Scheme.</w:t>
      </w:r>
      <w:r w:rsidR="00A96FE1">
        <w:t xml:space="preserve"> </w:t>
      </w:r>
      <w:r w:rsidR="00CB4A6B">
        <w:t xml:space="preserve">The significant restriction imposed by the current practice of including stated supports in NDIS plans is not an appropriate </w:t>
      </w:r>
      <w:r w:rsidR="005473BB">
        <w:t xml:space="preserve">or effective </w:t>
      </w:r>
      <w:r w:rsidR="00D95168">
        <w:t>mechanism for ensurin</w:t>
      </w:r>
      <w:r w:rsidR="005473BB">
        <w:t>g access to evidence-based therapies.</w:t>
      </w:r>
    </w:p>
    <w:p w14:paraId="1DAC28DD" w14:textId="5923FC99" w:rsidR="00C70EE9" w:rsidRPr="001D59A6" w:rsidRDefault="009D05FD" w:rsidP="001D59A6">
      <w:pPr>
        <w:pStyle w:val="ListParagraph"/>
        <w:numPr>
          <w:ilvl w:val="0"/>
          <w:numId w:val="2"/>
        </w:numPr>
        <w:rPr>
          <w:rFonts w:cs="Tahoma"/>
        </w:rPr>
      </w:pPr>
      <w:r>
        <w:rPr>
          <w:rFonts w:cs="Tahoma"/>
        </w:rPr>
        <w:t>A</w:t>
      </w:r>
      <w:r w:rsidR="00C70EE9" w:rsidRPr="001D59A6">
        <w:rPr>
          <w:rFonts w:cs="Tahoma"/>
        </w:rPr>
        <w:t xml:space="preserve">ssistive technology to support independent management of medical conditions </w:t>
      </w:r>
      <w:r w:rsidR="000F7477" w:rsidRPr="001D59A6">
        <w:rPr>
          <w:rFonts w:cs="Tahoma"/>
        </w:rPr>
        <w:t xml:space="preserve">(such as talking blood pressure and blood glucose monitors) </w:t>
      </w:r>
      <w:r w:rsidR="00C70EE9" w:rsidRPr="001D59A6">
        <w:rPr>
          <w:rFonts w:cs="Tahoma"/>
        </w:rPr>
        <w:t xml:space="preserve">should be </w:t>
      </w:r>
      <w:r w:rsidR="009032F1">
        <w:rPr>
          <w:rFonts w:cs="Tahoma"/>
        </w:rPr>
        <w:t>added</w:t>
      </w:r>
      <w:r w:rsidR="00C70EE9" w:rsidRPr="001D59A6">
        <w:rPr>
          <w:rFonts w:cs="Tahoma"/>
        </w:rPr>
        <w:t xml:space="preserve"> as an inclusion </w:t>
      </w:r>
      <w:r w:rsidR="006F77A8">
        <w:rPr>
          <w:rFonts w:cs="Tahoma"/>
        </w:rPr>
        <w:t xml:space="preserve">on the </w:t>
      </w:r>
      <w:r w:rsidR="000A7CCF">
        <w:rPr>
          <w:rFonts w:cs="Tahoma"/>
        </w:rPr>
        <w:t xml:space="preserve">Included </w:t>
      </w:r>
      <w:r w:rsidR="006F77A8">
        <w:rPr>
          <w:rFonts w:cs="Tahoma"/>
        </w:rPr>
        <w:t>Support</w:t>
      </w:r>
      <w:r w:rsidR="000A7CCF">
        <w:rPr>
          <w:rFonts w:cs="Tahoma"/>
        </w:rPr>
        <w:t>s</w:t>
      </w:r>
      <w:r w:rsidR="006F77A8">
        <w:rPr>
          <w:rFonts w:cs="Tahoma"/>
        </w:rPr>
        <w:t xml:space="preserve"> List </w:t>
      </w:r>
      <w:r w:rsidR="00C70EE9" w:rsidRPr="001D59A6">
        <w:rPr>
          <w:rFonts w:cs="Tahoma"/>
        </w:rPr>
        <w:t>under the Disability-</w:t>
      </w:r>
      <w:r w:rsidR="00EF3388">
        <w:rPr>
          <w:rFonts w:cs="Tahoma"/>
        </w:rPr>
        <w:t>r</w:t>
      </w:r>
      <w:r w:rsidR="00C70EE9" w:rsidRPr="001D59A6">
        <w:rPr>
          <w:rFonts w:cs="Tahoma"/>
        </w:rPr>
        <w:t xml:space="preserve">elated </w:t>
      </w:r>
      <w:r w:rsidR="00EF3388">
        <w:rPr>
          <w:rFonts w:cs="Tahoma"/>
        </w:rPr>
        <w:t>h</w:t>
      </w:r>
      <w:r w:rsidR="00C70EE9" w:rsidRPr="001D59A6">
        <w:rPr>
          <w:rFonts w:cs="Tahoma"/>
        </w:rPr>
        <w:t xml:space="preserve">ealth </w:t>
      </w:r>
      <w:r w:rsidR="002C0968">
        <w:rPr>
          <w:rFonts w:cs="Tahoma"/>
        </w:rPr>
        <w:t>s</w:t>
      </w:r>
      <w:r w:rsidR="00C70EE9" w:rsidRPr="001D59A6">
        <w:rPr>
          <w:rFonts w:cs="Tahoma"/>
        </w:rPr>
        <w:t xml:space="preserve">upports </w:t>
      </w:r>
      <w:r w:rsidR="002C0968">
        <w:rPr>
          <w:rFonts w:cs="Tahoma"/>
        </w:rPr>
        <w:t>c</w:t>
      </w:r>
      <w:r w:rsidR="00C70EE9" w:rsidRPr="001D59A6">
        <w:rPr>
          <w:rFonts w:cs="Tahoma"/>
        </w:rPr>
        <w:t xml:space="preserve">ategory, </w:t>
      </w:r>
      <w:proofErr w:type="gramStart"/>
      <w:r w:rsidR="00C70EE9" w:rsidRPr="001D59A6">
        <w:rPr>
          <w:rFonts w:cs="Tahoma"/>
        </w:rPr>
        <w:t>and also</w:t>
      </w:r>
      <w:proofErr w:type="gramEnd"/>
      <w:r w:rsidR="00C70EE9" w:rsidRPr="001D59A6">
        <w:rPr>
          <w:rFonts w:cs="Tahoma"/>
        </w:rPr>
        <w:t xml:space="preserve"> as a carve out under the Mainstream - Health section of the</w:t>
      </w:r>
      <w:r w:rsidR="000A7CCF">
        <w:rPr>
          <w:rFonts w:cs="Tahoma"/>
        </w:rPr>
        <w:t xml:space="preserve"> Excluded Supports List</w:t>
      </w:r>
      <w:r w:rsidR="00C70EE9" w:rsidRPr="001D59A6">
        <w:rPr>
          <w:rFonts w:cs="Tahoma"/>
        </w:rPr>
        <w:t>.</w:t>
      </w:r>
    </w:p>
    <w:p w14:paraId="163484A0" w14:textId="54A7C702" w:rsidR="00692F7A" w:rsidRPr="001D59A6" w:rsidRDefault="00692F7A" w:rsidP="001D59A6">
      <w:pPr>
        <w:pStyle w:val="ListParagraph"/>
        <w:numPr>
          <w:ilvl w:val="0"/>
          <w:numId w:val="2"/>
        </w:numPr>
        <w:rPr>
          <w:rFonts w:cs="Tahoma"/>
        </w:rPr>
      </w:pPr>
      <w:r w:rsidRPr="001D59A6">
        <w:rPr>
          <w:rFonts w:cs="Tahoma"/>
        </w:rPr>
        <w:t xml:space="preserve">Additional guidance is needed to clarify the types of </w:t>
      </w:r>
      <w:r w:rsidR="00FC47DA" w:rsidRPr="001D59A6">
        <w:rPr>
          <w:rFonts w:cs="Tahoma"/>
        </w:rPr>
        <w:t>household products tha</w:t>
      </w:r>
      <w:r w:rsidR="008A6197" w:rsidRPr="001D59A6">
        <w:rPr>
          <w:rFonts w:cs="Tahoma"/>
        </w:rPr>
        <w:t xml:space="preserve">t are considered “modified” or “adaptive” for the purposes of the </w:t>
      </w:r>
      <w:r w:rsidR="006F77A8">
        <w:rPr>
          <w:rFonts w:cs="Tahoma"/>
        </w:rPr>
        <w:t>r</w:t>
      </w:r>
      <w:r w:rsidR="008A6197" w:rsidRPr="001D59A6">
        <w:rPr>
          <w:rFonts w:cs="Tahoma"/>
        </w:rPr>
        <w:t>ules.</w:t>
      </w:r>
      <w:r w:rsidR="00FC47DA" w:rsidRPr="001D59A6">
        <w:rPr>
          <w:rFonts w:cs="Tahoma"/>
        </w:rPr>
        <w:t xml:space="preserve"> </w:t>
      </w:r>
    </w:p>
    <w:p w14:paraId="356378B1" w14:textId="51813C8C" w:rsidR="00451D96" w:rsidRPr="001D59A6" w:rsidRDefault="009D3D66" w:rsidP="001D59A6">
      <w:pPr>
        <w:pStyle w:val="ListParagraph"/>
        <w:numPr>
          <w:ilvl w:val="0"/>
          <w:numId w:val="2"/>
        </w:numPr>
        <w:rPr>
          <w:rFonts w:cs="Tahoma"/>
        </w:rPr>
      </w:pPr>
      <w:r>
        <w:t xml:space="preserve">Greater clarity is needed as to whether prosthetic eyes fall within the </w:t>
      </w:r>
      <w:r w:rsidR="00D90789">
        <w:t>Customised Prosthes</w:t>
      </w:r>
      <w:r w:rsidR="000E4C37">
        <w:t>e</w:t>
      </w:r>
      <w:r w:rsidR="00D90789">
        <w:t xml:space="preserve">s </w:t>
      </w:r>
      <w:r w:rsidR="00D61237">
        <w:t xml:space="preserve">support category inclusions. </w:t>
      </w:r>
      <w:r w:rsidR="00ED5592" w:rsidRPr="001D59A6">
        <w:rPr>
          <w:rFonts w:cs="Tahoma"/>
        </w:rPr>
        <w:t>If the policy intent is that the NDIA should only fund prosthetics that increase or maintain a part</w:t>
      </w:r>
      <w:r w:rsidR="00EF3388">
        <w:rPr>
          <w:rFonts w:cs="Tahoma"/>
        </w:rPr>
        <w:t>i</w:t>
      </w:r>
      <w:r w:rsidR="00ED5592" w:rsidRPr="001D59A6">
        <w:rPr>
          <w:rFonts w:cs="Tahoma"/>
        </w:rPr>
        <w:t>cipant’s functional</w:t>
      </w:r>
      <w:r w:rsidR="00ED5592" w:rsidRPr="001D59A6">
        <w:rPr>
          <w:rFonts w:ascii="Tahoma" w:hAnsi="Tahoma" w:cs="Tahoma"/>
        </w:rPr>
        <w:t xml:space="preserve"> </w:t>
      </w:r>
      <w:r w:rsidR="00ED5592" w:rsidRPr="001D59A6">
        <w:rPr>
          <w:rFonts w:cs="Tahoma"/>
        </w:rPr>
        <w:t xml:space="preserve">capacity, this should be clearly stated. Similarly, if there are </w:t>
      </w:r>
      <w:proofErr w:type="gramStart"/>
      <w:r w:rsidR="00ED5592" w:rsidRPr="001D59A6">
        <w:rPr>
          <w:rFonts w:cs="Tahoma"/>
        </w:rPr>
        <w:t>particular types</w:t>
      </w:r>
      <w:proofErr w:type="gramEnd"/>
      <w:r w:rsidR="00ED5592" w:rsidRPr="001D59A6">
        <w:rPr>
          <w:rFonts w:cs="Tahoma"/>
        </w:rPr>
        <w:t xml:space="preserve"> of prosthetics that are categorically excluded, the specifics of these should be listed</w:t>
      </w:r>
      <w:r w:rsidR="00EE4947" w:rsidRPr="001D59A6">
        <w:rPr>
          <w:rFonts w:cs="Tahoma"/>
        </w:rPr>
        <w:t>.</w:t>
      </w:r>
    </w:p>
    <w:p w14:paraId="3A2ABD1B" w14:textId="5C6BFA8D" w:rsidR="00EE4947" w:rsidRPr="001D59A6" w:rsidRDefault="00EE4947" w:rsidP="001D59A6">
      <w:pPr>
        <w:pStyle w:val="ListParagraph"/>
        <w:numPr>
          <w:ilvl w:val="0"/>
          <w:numId w:val="2"/>
        </w:numPr>
        <w:rPr>
          <w:rFonts w:cs="Tahoma"/>
        </w:rPr>
      </w:pPr>
      <w:r w:rsidRPr="001D59A6">
        <w:rPr>
          <w:rFonts w:cs="Tahoma"/>
        </w:rPr>
        <w:lastRenderedPageBreak/>
        <w:t>There is an ongoing need to educate plan managers an</w:t>
      </w:r>
      <w:r w:rsidR="006F77A8">
        <w:rPr>
          <w:rFonts w:cs="Tahoma"/>
        </w:rPr>
        <w:t>d</w:t>
      </w:r>
      <w:r w:rsidRPr="001D59A6">
        <w:rPr>
          <w:rFonts w:cs="Tahoma"/>
        </w:rPr>
        <w:t xml:space="preserve"> support coordinators concerning the day-to-day application of the </w:t>
      </w:r>
      <w:r w:rsidR="00C17ADD">
        <w:rPr>
          <w:rFonts w:cs="Tahoma"/>
        </w:rPr>
        <w:t>Support List</w:t>
      </w:r>
      <w:r w:rsidR="009032F1">
        <w:rPr>
          <w:rFonts w:cs="Tahoma"/>
        </w:rPr>
        <w:t>s</w:t>
      </w:r>
      <w:r w:rsidRPr="001D59A6">
        <w:rPr>
          <w:rFonts w:cs="Tahoma"/>
        </w:rPr>
        <w:t>. This is a task that cannot be taken on by service providers and must be facilitated through joint efforts by Government and the NDIA</w:t>
      </w:r>
    </w:p>
    <w:p w14:paraId="0D38651D" w14:textId="65BF9790" w:rsidR="00873C3C" w:rsidRDefault="00DB3FD6" w:rsidP="001D59A6">
      <w:pPr>
        <w:pStyle w:val="ListParagraph"/>
        <w:numPr>
          <w:ilvl w:val="0"/>
          <w:numId w:val="2"/>
        </w:numPr>
      </w:pPr>
      <w:r w:rsidRPr="001D59A6">
        <w:rPr>
          <w:rFonts w:cs="Tahoma"/>
        </w:rPr>
        <w:t xml:space="preserve">A regular </w:t>
      </w:r>
      <w:r w:rsidR="005F07A9" w:rsidRPr="001D59A6">
        <w:rPr>
          <w:rFonts w:cs="Tahoma"/>
        </w:rPr>
        <w:t xml:space="preserve">expert </w:t>
      </w:r>
      <w:r w:rsidRPr="001D59A6">
        <w:rPr>
          <w:rFonts w:cs="Tahoma"/>
        </w:rPr>
        <w:t xml:space="preserve">review mechanism must be built into the subordinate legislation. This will help to future proof </w:t>
      </w:r>
      <w:r w:rsidR="009032F1">
        <w:rPr>
          <w:rFonts w:cs="Tahoma"/>
        </w:rPr>
        <w:t xml:space="preserve">the Support Lists </w:t>
      </w:r>
      <w:r w:rsidRPr="001D59A6">
        <w:rPr>
          <w:rFonts w:cs="Tahoma"/>
        </w:rPr>
        <w:t>in the long-term, ensuring that they are responsive to technological innovation and reflect the diverse needs of participants.</w:t>
      </w:r>
    </w:p>
    <w:p w14:paraId="26115357" w14:textId="27E0A25E" w:rsidR="002F7EB3" w:rsidRDefault="002628B4" w:rsidP="00A416BF">
      <w:pPr>
        <w:pStyle w:val="Heading2"/>
      </w:pPr>
      <w:r>
        <w:t xml:space="preserve">Reduced Access to NDIS Supports </w:t>
      </w:r>
    </w:p>
    <w:p w14:paraId="78FF5FD0" w14:textId="6A042857" w:rsidR="007B3D91" w:rsidRDefault="00F54841">
      <w:r>
        <w:t xml:space="preserve">Vision Australia broadly supports the introduction </w:t>
      </w:r>
      <w:r w:rsidR="009934C3">
        <w:t>of the Supports</w:t>
      </w:r>
      <w:r w:rsidR="00A9595C">
        <w:t xml:space="preserve"> Lists. In many respects, they have </w:t>
      </w:r>
      <w:r w:rsidR="004D2564">
        <w:t xml:space="preserve">improved clarity for participants and </w:t>
      </w:r>
      <w:r w:rsidR="00704402">
        <w:t xml:space="preserve">reduced the burden on service providers to explain </w:t>
      </w:r>
      <w:r w:rsidR="00BC1D23">
        <w:t xml:space="preserve">what can and cannot be funded by the NDIS. </w:t>
      </w:r>
      <w:r w:rsidR="00456501">
        <w:t xml:space="preserve">It is important to note, however, that in some circumstances, the promulgation of the </w:t>
      </w:r>
      <w:r w:rsidR="00C17ADD">
        <w:t>Support List</w:t>
      </w:r>
      <w:r w:rsidR="00456501">
        <w:t xml:space="preserve">s has resulted in reduced </w:t>
      </w:r>
      <w:r w:rsidR="00B2056B">
        <w:t>access to certain types of equipment and services</w:t>
      </w:r>
      <w:r w:rsidR="00566A4D">
        <w:t>, which are further outlined below.</w:t>
      </w:r>
      <w:r w:rsidR="00B2056B">
        <w:t xml:space="preserve"> </w:t>
      </w:r>
    </w:p>
    <w:p w14:paraId="209BA94E" w14:textId="76DF1F32" w:rsidR="007B3D91" w:rsidRDefault="009C63FB" w:rsidP="00A416BF">
      <w:pPr>
        <w:pStyle w:val="Heading3"/>
      </w:pPr>
      <w:r>
        <w:t>Low-Cost</w:t>
      </w:r>
      <w:r w:rsidR="007B3D91">
        <w:t xml:space="preserve"> Assistive technology </w:t>
      </w:r>
    </w:p>
    <w:p w14:paraId="371EB1B2" w14:textId="23ADD93F" w:rsidR="007B3D91" w:rsidRDefault="00E271B0">
      <w:r>
        <w:t xml:space="preserve">There are several </w:t>
      </w:r>
      <w:r w:rsidR="00A06836">
        <w:t>low-cost</w:t>
      </w:r>
      <w:r w:rsidR="00A45E23">
        <w:t xml:space="preserve"> technology aids that were previously funded by the </w:t>
      </w:r>
      <w:r w:rsidR="00A06836">
        <w:t>Scheme,</w:t>
      </w:r>
      <w:r w:rsidR="00A45E23">
        <w:t xml:space="preserve"> but which are now excluded under the Section 10 </w:t>
      </w:r>
      <w:r w:rsidR="009032F1">
        <w:t>r</w:t>
      </w:r>
      <w:r w:rsidR="00A45E23">
        <w:t xml:space="preserve">ules. These include </w:t>
      </w:r>
      <w:r w:rsidR="00E90B14">
        <w:t xml:space="preserve">adaptive items such as Braille and talking watches, as well as mobile phones that are specifically designed for people who are blind or have low vision. </w:t>
      </w:r>
      <w:r w:rsidR="00300BED">
        <w:t xml:space="preserve">We are not referring here to mainstream devices with in-built accessibility options, such as iPhones or Apple Watches. Rather, this relates to specialised </w:t>
      </w:r>
      <w:r w:rsidR="00647531">
        <w:t xml:space="preserve">devices </w:t>
      </w:r>
      <w:r w:rsidR="00300BED">
        <w:t xml:space="preserve">with </w:t>
      </w:r>
      <w:r w:rsidR="003E6B00">
        <w:t>purpose-built</w:t>
      </w:r>
      <w:r w:rsidR="006633C8">
        <w:t xml:space="preserve"> features that </w:t>
      </w:r>
      <w:r w:rsidR="007E1455">
        <w:t xml:space="preserve">address the challenges that people who are blind or have low vision face in accessing mainstream technologies. </w:t>
      </w:r>
      <w:r w:rsidR="00927CDF">
        <w:t xml:space="preserve">They are also </w:t>
      </w:r>
      <w:proofErr w:type="gramStart"/>
      <w:r w:rsidR="00927CDF">
        <w:t>cost effective</w:t>
      </w:r>
      <w:proofErr w:type="gramEnd"/>
      <w:r w:rsidR="00927CDF">
        <w:t xml:space="preserve"> solutions that </w:t>
      </w:r>
      <w:r w:rsidR="00620477">
        <w:t xml:space="preserve">can </w:t>
      </w:r>
      <w:r w:rsidR="00E27EC9">
        <w:t xml:space="preserve">promote independence and </w:t>
      </w:r>
      <w:r w:rsidR="00620477">
        <w:t xml:space="preserve">reduce reliance on other </w:t>
      </w:r>
      <w:r w:rsidR="00E27EC9">
        <w:t>funded supports</w:t>
      </w:r>
      <w:r w:rsidR="005F242A">
        <w:t xml:space="preserve">. While participants can </w:t>
      </w:r>
      <w:proofErr w:type="gramStart"/>
      <w:r w:rsidR="00211EC2">
        <w:t>utilise</w:t>
      </w:r>
      <w:proofErr w:type="gramEnd"/>
      <w:r w:rsidR="00211EC2">
        <w:t xml:space="preserve"> the Replacement Supports process to access some of these items, this is unnecessarily cumbersome and </w:t>
      </w:r>
      <w:r w:rsidR="002D2F95">
        <w:t xml:space="preserve">should not be required in situations where the </w:t>
      </w:r>
      <w:r w:rsidR="006C66B6">
        <w:t xml:space="preserve">requested device is clearly adapted to meet disability needs. </w:t>
      </w:r>
      <w:r w:rsidR="00B35EF9">
        <w:t xml:space="preserve">Accordingly, Vision Australia is of the view that </w:t>
      </w:r>
      <w:bookmarkStart w:id="0" w:name="_Hlk204185180"/>
      <w:r w:rsidR="008E7F06">
        <w:t xml:space="preserve">Braille and tactile watches, as well as communication devices designed specifically for people with disability should be a stated inclusion on the </w:t>
      </w:r>
      <w:r w:rsidR="0089030C">
        <w:t xml:space="preserve">Included </w:t>
      </w:r>
      <w:r w:rsidR="00C17ADD">
        <w:t>Support</w:t>
      </w:r>
      <w:r w:rsidR="0089030C">
        <w:t>s</w:t>
      </w:r>
      <w:r w:rsidR="00C17ADD">
        <w:t xml:space="preserve"> List</w:t>
      </w:r>
      <w:r w:rsidR="008E7F06">
        <w:t>.</w:t>
      </w:r>
      <w:bookmarkEnd w:id="0"/>
      <w:r w:rsidR="004B3123">
        <w:t xml:space="preserve"> </w:t>
      </w:r>
    </w:p>
    <w:p w14:paraId="6F74C5B3" w14:textId="4D278ABE" w:rsidR="008E7F06" w:rsidRDefault="006238D6" w:rsidP="00555552">
      <w:pPr>
        <w:pStyle w:val="Heading3"/>
      </w:pPr>
      <w:r>
        <w:t>Pet Insurance for Assistance Animals</w:t>
      </w:r>
    </w:p>
    <w:p w14:paraId="5F8E1D1F" w14:textId="5F741443" w:rsidR="00D6610B" w:rsidRDefault="006F4620">
      <w:r>
        <w:t xml:space="preserve">Vision Australia has grave concerns regarding the omission of pet insurance for NDIS funded assistance animals </w:t>
      </w:r>
      <w:r w:rsidR="009260D6">
        <w:t>as an</w:t>
      </w:r>
      <w:r>
        <w:t xml:space="preserve"> </w:t>
      </w:r>
      <w:r w:rsidR="0089030C">
        <w:t>available support</w:t>
      </w:r>
      <w:r>
        <w:t xml:space="preserve">. </w:t>
      </w:r>
      <w:r w:rsidR="007C77FF">
        <w:t xml:space="preserve">We note that this </w:t>
      </w:r>
      <w:r w:rsidR="00E44DF5">
        <w:t xml:space="preserve">exclusion was not </w:t>
      </w:r>
      <w:r w:rsidR="000A4D05">
        <w:t xml:space="preserve">part of the consultation draft of the current Section 10 </w:t>
      </w:r>
      <w:r w:rsidR="0089030C">
        <w:t>r</w:t>
      </w:r>
      <w:r w:rsidR="000A4D05">
        <w:t>ules,</w:t>
      </w:r>
      <w:r w:rsidR="00DE78CD">
        <w:t xml:space="preserve"> meaning that providers and consumers impacted by this change have not had an opportunity to comment on its effects through </w:t>
      </w:r>
      <w:r w:rsidR="00324857">
        <w:t xml:space="preserve">a </w:t>
      </w:r>
      <w:r w:rsidR="00DE78CD">
        <w:t xml:space="preserve">public </w:t>
      </w:r>
      <w:r w:rsidR="00324857">
        <w:t xml:space="preserve">feedback </w:t>
      </w:r>
      <w:r w:rsidR="00DE78CD">
        <w:t xml:space="preserve">process until now. </w:t>
      </w:r>
      <w:r w:rsidR="0065121A">
        <w:t xml:space="preserve">This is not simply a matter of interpretation; </w:t>
      </w:r>
      <w:r w:rsidR="008D3AB4">
        <w:t xml:space="preserve">the </w:t>
      </w:r>
      <w:r w:rsidR="00C17ADD">
        <w:t>Support List</w:t>
      </w:r>
      <w:r w:rsidR="0089030C">
        <w:t>s</w:t>
      </w:r>
      <w:r w:rsidR="008D3AB4">
        <w:t xml:space="preserve"> contain </w:t>
      </w:r>
      <w:r w:rsidR="0065121A">
        <w:t xml:space="preserve">a clear exclusion of all pet insurance </w:t>
      </w:r>
      <w:r w:rsidR="003404A3">
        <w:t xml:space="preserve">without exception. </w:t>
      </w:r>
      <w:r w:rsidR="008D3AB4">
        <w:t xml:space="preserve">This is a significant policy change, given that this support was </w:t>
      </w:r>
      <w:r w:rsidR="009619BA">
        <w:t xml:space="preserve">consistently funded through the NDIS prior to the implementation of the Section 10 </w:t>
      </w:r>
      <w:r w:rsidR="0089030C">
        <w:t>r</w:t>
      </w:r>
      <w:r w:rsidR="009619BA">
        <w:t>ules, as an ongoing cost associated with an assistance animal. It is essential that workin</w:t>
      </w:r>
      <w:r w:rsidR="005F40D8">
        <w:t xml:space="preserve">g dog guides have </w:t>
      </w:r>
      <w:r w:rsidR="00C81996">
        <w:t>rapid</w:t>
      </w:r>
      <w:r w:rsidR="005F40D8">
        <w:t xml:space="preserve"> and reliable access to medical care </w:t>
      </w:r>
      <w:proofErr w:type="gramStart"/>
      <w:r w:rsidR="005F40D8">
        <w:t>in the event that</w:t>
      </w:r>
      <w:proofErr w:type="gramEnd"/>
      <w:r w:rsidR="005F40D8">
        <w:t xml:space="preserve"> they are injured or become ill. The failure to provide this suppor</w:t>
      </w:r>
      <w:r w:rsidR="003179A3">
        <w:t xml:space="preserve">t could have </w:t>
      </w:r>
      <w:r w:rsidR="00D61786">
        <w:t xml:space="preserve">serious implications for the </w:t>
      </w:r>
      <w:r w:rsidR="00BD01BE">
        <w:t>working life of dogs</w:t>
      </w:r>
      <w:r w:rsidR="002D6E39">
        <w:t xml:space="preserve"> and </w:t>
      </w:r>
      <w:r w:rsidR="00B24498">
        <w:t>the viability of handler and dog guide partnerships.</w:t>
      </w:r>
      <w:r w:rsidR="00BD01BE">
        <w:t xml:space="preserve"> </w:t>
      </w:r>
      <w:r w:rsidR="00E202BB">
        <w:t>The approach also seems counterintuitive, given the significant investmen</w:t>
      </w:r>
      <w:r w:rsidR="00650CE8">
        <w:t xml:space="preserve">t involved for the </w:t>
      </w:r>
      <w:r w:rsidR="00DF260F">
        <w:t xml:space="preserve">NDIS in funding an assistance animal to begin with. </w:t>
      </w:r>
      <w:r w:rsidR="009F1B6E">
        <w:t>With</w:t>
      </w:r>
      <w:r w:rsidR="00B115F4">
        <w:t>o</w:t>
      </w:r>
      <w:r w:rsidR="009F1B6E">
        <w:t>ut this support, participants with a dog guide wil</w:t>
      </w:r>
      <w:r w:rsidR="00DB777F">
        <w:t>l</w:t>
      </w:r>
      <w:r w:rsidR="009F1B6E">
        <w:t xml:space="preserve"> have to cover the </w:t>
      </w:r>
      <w:r w:rsidR="0030457A">
        <w:t xml:space="preserve">out-of-pocket costs associated with </w:t>
      </w:r>
      <w:r w:rsidR="00E53267">
        <w:t>veterinary treatment</w:t>
      </w:r>
      <w:r w:rsidR="005B5C72">
        <w:t xml:space="preserve"> and wait to receive a reimbursement when</w:t>
      </w:r>
      <w:r w:rsidR="00215C2F">
        <w:t>,</w:t>
      </w:r>
      <w:r w:rsidR="005B5C72">
        <w:t xml:space="preserve"> </w:t>
      </w:r>
      <w:r w:rsidR="00215C2F">
        <w:t xml:space="preserve">or if, </w:t>
      </w:r>
      <w:r w:rsidR="005B5C72">
        <w:t xml:space="preserve">that treatment is approved by the NDIA. </w:t>
      </w:r>
      <w:r w:rsidR="006654F2">
        <w:t xml:space="preserve">Many participants may not have the financial means to </w:t>
      </w:r>
      <w:r w:rsidR="00A72F5B">
        <w:t>cover up-fron</w:t>
      </w:r>
      <w:r w:rsidR="00F15959">
        <w:t xml:space="preserve">t medical costs in this way. Pet insurance can obviate this risk </w:t>
      </w:r>
      <w:r w:rsidR="000C6501">
        <w:t xml:space="preserve">and ensure that prompt treatment </w:t>
      </w:r>
      <w:r w:rsidR="000C6501">
        <w:lastRenderedPageBreak/>
        <w:t xml:space="preserve">is available without compromising the welfare of the dog. </w:t>
      </w:r>
      <w:r w:rsidR="00250666">
        <w:t>Accordingly, Vision Austr</w:t>
      </w:r>
      <w:r w:rsidR="000C6501">
        <w:t>a</w:t>
      </w:r>
      <w:r w:rsidR="00250666">
        <w:t xml:space="preserve">lia considers that pet </w:t>
      </w:r>
      <w:r w:rsidR="00FD491D">
        <w:t xml:space="preserve">insurance for funded assistance animals should be </w:t>
      </w:r>
      <w:r w:rsidR="0089030C">
        <w:t>added to the Included</w:t>
      </w:r>
      <w:r w:rsidR="00892964">
        <w:t xml:space="preserve"> </w:t>
      </w:r>
      <w:r w:rsidR="00C17ADD">
        <w:t>Support</w:t>
      </w:r>
      <w:r w:rsidR="0089030C">
        <w:t>s</w:t>
      </w:r>
      <w:r w:rsidR="00C17ADD">
        <w:t xml:space="preserve"> List</w:t>
      </w:r>
      <w:r w:rsidR="00892964">
        <w:t xml:space="preserve">. </w:t>
      </w:r>
      <w:r w:rsidR="00E77138">
        <w:t xml:space="preserve">Alternatively, </w:t>
      </w:r>
      <w:r w:rsidR="00A24C25">
        <w:t xml:space="preserve">an exception could be provided under </w:t>
      </w:r>
      <w:r w:rsidR="007D3E33">
        <w:t xml:space="preserve">the category of Pet-Related </w:t>
      </w:r>
      <w:r w:rsidR="00006074">
        <w:t>Day-To-Day Living Costs</w:t>
      </w:r>
      <w:r w:rsidR="0089030C">
        <w:t xml:space="preserve"> on the Excluded Supports List</w:t>
      </w:r>
      <w:r w:rsidR="00006074">
        <w:t xml:space="preserve">, </w:t>
      </w:r>
      <w:r w:rsidR="00826AE9">
        <w:t xml:space="preserve">clarifying that </w:t>
      </w:r>
      <w:r w:rsidR="007D2F38">
        <w:t xml:space="preserve">pet insurance may be </w:t>
      </w:r>
      <w:r w:rsidR="009B799D">
        <w:t xml:space="preserve">funded for approved NDIS assistance animals. </w:t>
      </w:r>
    </w:p>
    <w:p w14:paraId="58D97678" w14:textId="125A2D6C" w:rsidR="006238D6" w:rsidRDefault="00EB54CA" w:rsidP="00555552">
      <w:pPr>
        <w:pStyle w:val="Heading3"/>
      </w:pPr>
      <w:r>
        <w:t xml:space="preserve">Stated Therapy Supports in NDIS Plans </w:t>
      </w:r>
    </w:p>
    <w:p w14:paraId="4C9A6DE7" w14:textId="69B33A3F" w:rsidR="00EB54CA" w:rsidRDefault="00EB54CA">
      <w:r>
        <w:t xml:space="preserve">Since the introduction of the Section 10 </w:t>
      </w:r>
      <w:r w:rsidR="009260D6">
        <w:t>r</w:t>
      </w:r>
      <w:r>
        <w:t xml:space="preserve">ules, there has been a marked increase in the </w:t>
      </w:r>
      <w:r w:rsidR="002E4D05">
        <w:t xml:space="preserve">inclusion of stated </w:t>
      </w:r>
      <w:r w:rsidR="00D971E0">
        <w:t xml:space="preserve">allied health </w:t>
      </w:r>
      <w:r w:rsidR="002E4D05">
        <w:t xml:space="preserve">supports within participant capacity building budgets. </w:t>
      </w:r>
      <w:r w:rsidR="0008165A">
        <w:t xml:space="preserve">This is a deeply concerning practice </w:t>
      </w:r>
      <w:r w:rsidR="006D3498">
        <w:t xml:space="preserve">within the NDIS planning process </w:t>
      </w:r>
      <w:r w:rsidR="0008165A">
        <w:t xml:space="preserve">that severely undermines </w:t>
      </w:r>
      <w:r w:rsidR="00C00BB9">
        <w:t xml:space="preserve">access to appropriate </w:t>
      </w:r>
      <w:r w:rsidR="004B11B9">
        <w:t xml:space="preserve">services. </w:t>
      </w:r>
      <w:r w:rsidR="008A1575">
        <w:t xml:space="preserve">Whilst </w:t>
      </w:r>
      <w:r w:rsidR="00580E0E">
        <w:t xml:space="preserve">the </w:t>
      </w:r>
      <w:r w:rsidR="008A1575">
        <w:t xml:space="preserve">intention of the </w:t>
      </w:r>
      <w:r w:rsidR="00C17ADD">
        <w:t>Support List</w:t>
      </w:r>
      <w:r w:rsidR="008A1575">
        <w:t xml:space="preserve">s was to provide clarity about the types of evidence-based therapies that can be funded, </w:t>
      </w:r>
      <w:r w:rsidR="00D62F99">
        <w:t xml:space="preserve">this must be balanced with the need to ensure the Scheme remains sufficiently flexible to </w:t>
      </w:r>
      <w:r w:rsidR="00424D48">
        <w:t xml:space="preserve">give participants agency to access supports that align with their goals. </w:t>
      </w:r>
      <w:r w:rsidR="006734CF">
        <w:t xml:space="preserve">Vision Australia is already seeing significant impacts of this practice, with many </w:t>
      </w:r>
      <w:proofErr w:type="gramStart"/>
      <w:r w:rsidR="006734CF">
        <w:t>participant</w:t>
      </w:r>
      <w:proofErr w:type="gramEnd"/>
      <w:r w:rsidR="006734CF">
        <w:t xml:space="preserve"> plans now including </w:t>
      </w:r>
      <w:r w:rsidR="00055129">
        <w:t xml:space="preserve">stated allied health </w:t>
      </w:r>
      <w:r w:rsidR="009674DC">
        <w:t xml:space="preserve">supports that do not </w:t>
      </w:r>
      <w:r w:rsidR="00672013">
        <w:t xml:space="preserve">align with the participant’s goals or which are not relevant to their registered impairment. </w:t>
      </w:r>
      <w:r w:rsidR="003A367D">
        <w:t xml:space="preserve">As an example, we are aware of several vision impaired participants who have been prevented from accessing orientation and mobility services </w:t>
      </w:r>
      <w:r w:rsidR="00F7055C">
        <w:t xml:space="preserve">because their NDIS plans state that capacity building funding must only be spent on occupational therapy. This is an unreasonable restriction upon </w:t>
      </w:r>
      <w:r w:rsidR="0091552F">
        <w:t xml:space="preserve">choice and flexibility, with many of these participants being forced to seek a plan variation </w:t>
      </w:r>
      <w:r w:rsidR="00A85DB8">
        <w:t xml:space="preserve">to have the issue rectified, whilst missing out on valuable supports in the meantime. </w:t>
      </w:r>
      <w:r w:rsidR="0036255B">
        <w:t>W</w:t>
      </w:r>
      <w:r w:rsidR="00105968">
        <w:t xml:space="preserve">e acknowledge that </w:t>
      </w:r>
      <w:r w:rsidR="0036255B">
        <w:t xml:space="preserve">the proliferation of stated supports </w:t>
      </w:r>
      <w:r w:rsidR="00E93810">
        <w:t xml:space="preserve">may be due in part to the NDIA’s internal processes, rather than the nature of the </w:t>
      </w:r>
      <w:r w:rsidR="004273F6">
        <w:t xml:space="preserve">Section 10 </w:t>
      </w:r>
      <w:r w:rsidR="00C403D1">
        <w:t>r</w:t>
      </w:r>
      <w:r w:rsidR="004273F6">
        <w:t>ules themselve</w:t>
      </w:r>
      <w:r w:rsidR="00C67CFD">
        <w:t xml:space="preserve">s, however, </w:t>
      </w:r>
      <w:r w:rsidR="004676F5">
        <w:t xml:space="preserve">this recent trend demonstrates </w:t>
      </w:r>
      <w:r w:rsidR="00C67CFD">
        <w:t xml:space="preserve">that </w:t>
      </w:r>
      <w:r w:rsidR="00666C86">
        <w:t xml:space="preserve">there is a need for additional </w:t>
      </w:r>
      <w:r w:rsidR="0070358A">
        <w:t xml:space="preserve">guidance </w:t>
      </w:r>
      <w:r w:rsidR="00666C86">
        <w:t xml:space="preserve">materials to support consistent interpretation of the </w:t>
      </w:r>
      <w:r w:rsidR="00C17ADD">
        <w:t>Support List</w:t>
      </w:r>
      <w:r w:rsidR="00E45990">
        <w:t>s</w:t>
      </w:r>
      <w:r w:rsidR="0070358A">
        <w:t xml:space="preserve"> at all operation</w:t>
      </w:r>
      <w:r w:rsidR="00D6610B">
        <w:t>a</w:t>
      </w:r>
      <w:r w:rsidR="0070358A">
        <w:t xml:space="preserve">l levels of the Scheme. </w:t>
      </w:r>
      <w:r w:rsidR="00C609FA">
        <w:t>The significant restriction imposed by the current practice of including stated supports in NDIS plans is not an appropriate or effective mechanism for ensuring access to evidence-based therapies.</w:t>
      </w:r>
    </w:p>
    <w:p w14:paraId="0B84D683" w14:textId="21BFFF55" w:rsidR="00BD32D4" w:rsidRDefault="00BD32D4" w:rsidP="00C609FA">
      <w:pPr>
        <w:pStyle w:val="Heading3"/>
      </w:pPr>
      <w:r>
        <w:t>Disability-</w:t>
      </w:r>
      <w:r w:rsidR="004D76F7">
        <w:t>r</w:t>
      </w:r>
      <w:r>
        <w:t xml:space="preserve">elated health </w:t>
      </w:r>
      <w:r w:rsidR="004D76F7">
        <w:t>s</w:t>
      </w:r>
      <w:r>
        <w:t xml:space="preserve">upports </w:t>
      </w:r>
    </w:p>
    <w:p w14:paraId="02261A43" w14:textId="4BE177BE" w:rsidR="00BD32D4" w:rsidRDefault="00BD32D4" w:rsidP="00BD32D4">
      <w:pPr>
        <w:rPr>
          <w:rFonts w:cs="Tahoma"/>
        </w:rPr>
      </w:pPr>
      <w:r w:rsidRPr="0017102A">
        <w:rPr>
          <w:rFonts w:cs="Tahoma"/>
        </w:rPr>
        <w:t>This category includes supports that are a regular part of the participant’s daily life and result from the participant’s disability. It is not clear, however, as to whether this encompass</w:t>
      </w:r>
      <w:r w:rsidR="00FB0736">
        <w:rPr>
          <w:rFonts w:cs="Tahoma"/>
        </w:rPr>
        <w:t>es</w:t>
      </w:r>
      <w:r w:rsidRPr="0017102A">
        <w:rPr>
          <w:rFonts w:cs="Tahoma"/>
        </w:rPr>
        <w:t xml:space="preserve"> funding of adaptive equipment to support management of medical conditions. Many people who are blind or have low vision rely on devices such as talking blood glucose and blood pressure monitors to support them in managing associated health conditions independently. We suggest that assistive technology to support independent management of medical conditions should be listed as an inclusion under the Disability-</w:t>
      </w:r>
      <w:r w:rsidR="004D76F7">
        <w:rPr>
          <w:rFonts w:cs="Tahoma"/>
        </w:rPr>
        <w:t>r</w:t>
      </w:r>
      <w:r w:rsidRPr="0017102A">
        <w:rPr>
          <w:rFonts w:cs="Tahoma"/>
        </w:rPr>
        <w:t xml:space="preserve">elated health </w:t>
      </w:r>
      <w:r w:rsidR="004D76F7">
        <w:rPr>
          <w:rFonts w:cs="Tahoma"/>
        </w:rPr>
        <w:t>s</w:t>
      </w:r>
      <w:r w:rsidRPr="0017102A">
        <w:rPr>
          <w:rFonts w:cs="Tahoma"/>
        </w:rPr>
        <w:t xml:space="preserve">upports </w:t>
      </w:r>
      <w:r w:rsidR="004D76F7">
        <w:rPr>
          <w:rFonts w:cs="Tahoma"/>
        </w:rPr>
        <w:t>c</w:t>
      </w:r>
      <w:r w:rsidRPr="0017102A">
        <w:rPr>
          <w:rFonts w:cs="Tahoma"/>
        </w:rPr>
        <w:t>ategory</w:t>
      </w:r>
      <w:r w:rsidR="004D76F7">
        <w:rPr>
          <w:rFonts w:cs="Tahoma"/>
        </w:rPr>
        <w:t xml:space="preserve"> of the Included Supports List</w:t>
      </w:r>
      <w:r w:rsidRPr="0017102A">
        <w:rPr>
          <w:rFonts w:cs="Tahoma"/>
        </w:rPr>
        <w:t xml:space="preserve">, </w:t>
      </w:r>
      <w:proofErr w:type="gramStart"/>
      <w:r w:rsidRPr="0017102A">
        <w:rPr>
          <w:rFonts w:cs="Tahoma"/>
        </w:rPr>
        <w:t>and also</w:t>
      </w:r>
      <w:proofErr w:type="gramEnd"/>
      <w:r w:rsidRPr="0017102A">
        <w:rPr>
          <w:rFonts w:cs="Tahoma"/>
        </w:rPr>
        <w:t xml:space="preserve"> as a carve out under the Mainstream - Health section of the </w:t>
      </w:r>
      <w:r w:rsidR="004D76F7">
        <w:rPr>
          <w:rFonts w:cs="Tahoma"/>
        </w:rPr>
        <w:t>Excluded Supports List</w:t>
      </w:r>
      <w:r w:rsidRPr="0017102A">
        <w:rPr>
          <w:rFonts w:cs="Tahoma"/>
        </w:rPr>
        <w:t>.</w:t>
      </w:r>
      <w:r w:rsidR="00FB0736">
        <w:rPr>
          <w:rFonts w:cs="Tahoma"/>
        </w:rPr>
        <w:t xml:space="preserve"> These supports were frequently purchased</w:t>
      </w:r>
      <w:r w:rsidR="00E90F65">
        <w:rPr>
          <w:rFonts w:cs="Tahoma"/>
        </w:rPr>
        <w:t xml:space="preserve"> using NDIS funding, however</w:t>
      </w:r>
      <w:r w:rsidR="00F358E9">
        <w:rPr>
          <w:rFonts w:cs="Tahoma"/>
        </w:rPr>
        <w:t>, there is increased confusion and lac</w:t>
      </w:r>
      <w:r w:rsidR="004D76F7">
        <w:rPr>
          <w:rFonts w:cs="Tahoma"/>
        </w:rPr>
        <w:t>k</w:t>
      </w:r>
      <w:r w:rsidR="00F358E9">
        <w:rPr>
          <w:rFonts w:cs="Tahoma"/>
        </w:rPr>
        <w:t xml:space="preserve"> of clarity as to how they should be funded following the recent introduction of the Section 10 rules.</w:t>
      </w:r>
      <w:r w:rsidR="00DA7174">
        <w:rPr>
          <w:rFonts w:cs="Tahoma"/>
        </w:rPr>
        <w:t xml:space="preserve"> </w:t>
      </w:r>
    </w:p>
    <w:p w14:paraId="30E784FB" w14:textId="28C26AFD" w:rsidR="00DA7174" w:rsidRDefault="00DA7174" w:rsidP="00C609FA">
      <w:pPr>
        <w:pStyle w:val="Heading2"/>
      </w:pPr>
      <w:r>
        <w:t xml:space="preserve">Areas of further clarification </w:t>
      </w:r>
    </w:p>
    <w:p w14:paraId="71D93D46" w14:textId="5AE4AB8B" w:rsidR="00CE0872" w:rsidRDefault="00BD1F75" w:rsidP="00BD32D4">
      <w:pPr>
        <w:rPr>
          <w:rFonts w:cs="Tahoma"/>
        </w:rPr>
      </w:pPr>
      <w:r>
        <w:rPr>
          <w:rFonts w:cs="Tahoma"/>
        </w:rPr>
        <w:t xml:space="preserve">While the </w:t>
      </w:r>
      <w:r w:rsidR="00C17ADD">
        <w:rPr>
          <w:rFonts w:cs="Tahoma"/>
        </w:rPr>
        <w:t>Support List</w:t>
      </w:r>
      <w:r w:rsidR="00505998">
        <w:rPr>
          <w:rFonts w:cs="Tahoma"/>
        </w:rPr>
        <w:t xml:space="preserve">s have gone some way to </w:t>
      </w:r>
      <w:r w:rsidR="00711C12">
        <w:rPr>
          <w:rFonts w:cs="Tahoma"/>
        </w:rPr>
        <w:t>crystalising the definition</w:t>
      </w:r>
      <w:r w:rsidR="0054432F">
        <w:rPr>
          <w:rFonts w:cs="Tahoma"/>
        </w:rPr>
        <w:t xml:space="preserve"> </w:t>
      </w:r>
      <w:r w:rsidR="00711C12">
        <w:rPr>
          <w:rFonts w:cs="Tahoma"/>
        </w:rPr>
        <w:t xml:space="preserve">of what constitutes </w:t>
      </w:r>
      <w:r w:rsidR="004D76F7">
        <w:rPr>
          <w:rFonts w:cs="Tahoma"/>
        </w:rPr>
        <w:t>a</w:t>
      </w:r>
      <w:r w:rsidR="00711C12">
        <w:rPr>
          <w:rFonts w:cs="Tahoma"/>
        </w:rPr>
        <w:t xml:space="preserve"> NDIS support, </w:t>
      </w:r>
      <w:r w:rsidR="00555F7D">
        <w:rPr>
          <w:rFonts w:cs="Tahoma"/>
        </w:rPr>
        <w:t>t</w:t>
      </w:r>
      <w:r w:rsidR="00D06DA2">
        <w:rPr>
          <w:rFonts w:cs="Tahoma"/>
        </w:rPr>
        <w:t xml:space="preserve">here are </w:t>
      </w:r>
      <w:r w:rsidR="00711C12">
        <w:rPr>
          <w:rFonts w:cs="Tahoma"/>
        </w:rPr>
        <w:t xml:space="preserve">still </w:t>
      </w:r>
      <w:proofErr w:type="gramStart"/>
      <w:r w:rsidR="00D06DA2">
        <w:rPr>
          <w:rFonts w:cs="Tahoma"/>
        </w:rPr>
        <w:t>a number of</w:t>
      </w:r>
      <w:proofErr w:type="gramEnd"/>
      <w:r w:rsidR="00D06DA2">
        <w:rPr>
          <w:rFonts w:cs="Tahoma"/>
        </w:rPr>
        <w:t xml:space="preserve"> areas within the current </w:t>
      </w:r>
      <w:r w:rsidR="004D76F7">
        <w:rPr>
          <w:rFonts w:cs="Tahoma"/>
        </w:rPr>
        <w:t>S</w:t>
      </w:r>
      <w:r w:rsidR="00D06DA2">
        <w:rPr>
          <w:rFonts w:cs="Tahoma"/>
        </w:rPr>
        <w:t xml:space="preserve">ection 10 rules </w:t>
      </w:r>
      <w:r w:rsidR="0054432F">
        <w:rPr>
          <w:rFonts w:cs="Tahoma"/>
        </w:rPr>
        <w:t xml:space="preserve">that require </w:t>
      </w:r>
      <w:r w:rsidR="00D06DA2">
        <w:rPr>
          <w:rFonts w:cs="Tahoma"/>
        </w:rPr>
        <w:t>additional clarification</w:t>
      </w:r>
      <w:r w:rsidR="0054432F">
        <w:rPr>
          <w:rFonts w:cs="Tahoma"/>
        </w:rPr>
        <w:t>.</w:t>
      </w:r>
      <w:r w:rsidR="00D06DA2">
        <w:rPr>
          <w:rFonts w:cs="Tahoma"/>
        </w:rPr>
        <w:t xml:space="preserve"> </w:t>
      </w:r>
      <w:r w:rsidR="004C4307">
        <w:rPr>
          <w:rFonts w:cs="Tahoma"/>
        </w:rPr>
        <w:t xml:space="preserve">These include the following: </w:t>
      </w:r>
    </w:p>
    <w:p w14:paraId="459BE0FC" w14:textId="77777777" w:rsidR="00942773" w:rsidRDefault="00942773" w:rsidP="00FE4785">
      <w:pPr>
        <w:pStyle w:val="Heading3"/>
      </w:pPr>
      <w:r>
        <w:lastRenderedPageBreak/>
        <w:t xml:space="preserve">Household Related Day-To-Day Living Costs </w:t>
      </w:r>
    </w:p>
    <w:p w14:paraId="0812F898" w14:textId="2D0E5A30" w:rsidR="00942773" w:rsidRDefault="00942773" w:rsidP="00942773">
      <w:pPr>
        <w:rPr>
          <w:rFonts w:cs="Tahoma"/>
        </w:rPr>
      </w:pPr>
      <w:r w:rsidRPr="0017102A">
        <w:rPr>
          <w:rFonts w:cs="Tahoma"/>
        </w:rPr>
        <w:t xml:space="preserve">Purchase of standard household appliances such as fridges </w:t>
      </w:r>
      <w:r w:rsidR="00A25F8A" w:rsidRPr="0017102A">
        <w:rPr>
          <w:rFonts w:cs="Tahoma"/>
        </w:rPr>
        <w:t>and washing</w:t>
      </w:r>
      <w:r w:rsidRPr="0017102A">
        <w:rPr>
          <w:rFonts w:cs="Tahoma"/>
        </w:rPr>
        <w:t xml:space="preserve"> machines is excluded from the Scheme. Vision Australia agrees with this approach, however, we note that additional costs to upgrade standard household items to those with accessibility features are listed as supports that may be funded. There is </w:t>
      </w:r>
      <w:r w:rsidR="00C91DD3">
        <w:rPr>
          <w:rFonts w:cs="Tahoma"/>
        </w:rPr>
        <w:t xml:space="preserve">considerable </w:t>
      </w:r>
      <w:r w:rsidRPr="0017102A">
        <w:rPr>
          <w:rFonts w:cs="Tahoma"/>
        </w:rPr>
        <w:t xml:space="preserve">confusion </w:t>
      </w:r>
      <w:r w:rsidR="00C91DD3">
        <w:rPr>
          <w:rFonts w:cs="Tahoma"/>
        </w:rPr>
        <w:t xml:space="preserve">among providers and participants </w:t>
      </w:r>
      <w:r w:rsidRPr="0017102A">
        <w:rPr>
          <w:rFonts w:cs="Tahoma"/>
        </w:rPr>
        <w:t xml:space="preserve">as to how this </w:t>
      </w:r>
      <w:r w:rsidR="00BF7811">
        <w:rPr>
          <w:rFonts w:cs="Tahoma"/>
        </w:rPr>
        <w:t>sh</w:t>
      </w:r>
      <w:r w:rsidRPr="0017102A">
        <w:rPr>
          <w:rFonts w:cs="Tahoma"/>
        </w:rPr>
        <w:t xml:space="preserve">ould operate in practice. For instance, </w:t>
      </w:r>
      <w:r w:rsidR="00BF7811">
        <w:rPr>
          <w:rFonts w:cs="Tahoma"/>
        </w:rPr>
        <w:t xml:space="preserve">does </w:t>
      </w:r>
      <w:r w:rsidRPr="0017102A">
        <w:rPr>
          <w:rFonts w:cs="Tahoma"/>
        </w:rPr>
        <w:t xml:space="preserve">the Scheme </w:t>
      </w:r>
      <w:r w:rsidR="00FD1817" w:rsidRPr="0017102A">
        <w:rPr>
          <w:rFonts w:cs="Tahoma"/>
        </w:rPr>
        <w:t>cover the</w:t>
      </w:r>
      <w:r w:rsidRPr="0017102A">
        <w:rPr>
          <w:rFonts w:cs="Tahoma"/>
        </w:rPr>
        <w:t xml:space="preserve"> cost difference where an appliance with accessibility features costs more than the basic model? What types of accessibility features might an appliance need to have </w:t>
      </w:r>
      <w:proofErr w:type="gramStart"/>
      <w:r w:rsidRPr="0017102A">
        <w:rPr>
          <w:rFonts w:cs="Tahoma"/>
        </w:rPr>
        <w:t>in order to</w:t>
      </w:r>
      <w:proofErr w:type="gramEnd"/>
      <w:r w:rsidR="00F16102">
        <w:rPr>
          <w:rFonts w:cs="Tahoma"/>
        </w:rPr>
        <w:t xml:space="preserve"> </w:t>
      </w:r>
      <w:r w:rsidR="00841EF8">
        <w:rPr>
          <w:rFonts w:cs="Tahoma"/>
        </w:rPr>
        <w:t>be viewed as being modified or adaptive</w:t>
      </w:r>
      <w:r w:rsidRPr="0017102A">
        <w:rPr>
          <w:rFonts w:cs="Tahoma"/>
        </w:rPr>
        <w:t xml:space="preserve">? </w:t>
      </w:r>
      <w:bookmarkStart w:id="1" w:name="_Hlk174722332"/>
      <w:r w:rsidRPr="0017102A">
        <w:rPr>
          <w:rFonts w:cs="Tahoma"/>
        </w:rPr>
        <w:t xml:space="preserve">It would be helpful to </w:t>
      </w:r>
      <w:r>
        <w:rPr>
          <w:rFonts w:cs="Tahoma"/>
        </w:rPr>
        <w:t xml:space="preserve">provide </w:t>
      </w:r>
      <w:r w:rsidR="00A36276">
        <w:rPr>
          <w:rFonts w:cs="Tahoma"/>
        </w:rPr>
        <w:t xml:space="preserve">additional </w:t>
      </w:r>
      <w:r>
        <w:rPr>
          <w:rFonts w:cs="Tahoma"/>
        </w:rPr>
        <w:t xml:space="preserve">guidance material </w:t>
      </w:r>
      <w:r w:rsidR="00A36276">
        <w:rPr>
          <w:rFonts w:cs="Tahoma"/>
        </w:rPr>
        <w:t>on this point</w:t>
      </w:r>
      <w:r w:rsidR="00463D8A">
        <w:rPr>
          <w:rFonts w:cs="Tahoma"/>
        </w:rPr>
        <w:t>,</w:t>
      </w:r>
      <w:r w:rsidR="00A36276">
        <w:rPr>
          <w:rFonts w:cs="Tahoma"/>
        </w:rPr>
        <w:t xml:space="preserve"> </w:t>
      </w:r>
      <w:r w:rsidR="00463D8A">
        <w:rPr>
          <w:rFonts w:cs="Tahoma"/>
        </w:rPr>
        <w:t xml:space="preserve">as it continues to be </w:t>
      </w:r>
      <w:r w:rsidRPr="0017102A">
        <w:rPr>
          <w:rFonts w:cs="Tahoma"/>
        </w:rPr>
        <w:t xml:space="preserve">burdensome for service providers to manage expectations of participants </w:t>
      </w:r>
      <w:bookmarkEnd w:id="1"/>
      <w:proofErr w:type="gramStart"/>
      <w:r w:rsidR="00D82E1B">
        <w:rPr>
          <w:rFonts w:cs="Tahoma"/>
        </w:rPr>
        <w:t>with regard to</w:t>
      </w:r>
      <w:proofErr w:type="gramEnd"/>
      <w:r w:rsidR="00D82E1B">
        <w:rPr>
          <w:rFonts w:cs="Tahoma"/>
        </w:rPr>
        <w:t xml:space="preserve"> these supports.</w:t>
      </w:r>
      <w:r w:rsidR="00A341E3">
        <w:rPr>
          <w:rFonts w:cs="Tahoma"/>
        </w:rPr>
        <w:t xml:space="preserve"> </w:t>
      </w:r>
      <w:r w:rsidR="005479E8">
        <w:rPr>
          <w:rFonts w:cs="Tahoma"/>
        </w:rPr>
        <w:t>We note that some household items may be accessed through the NDIA’s replacement supports process, however, feedback from our clients indicates that they find this procedure rigid and confusing to navigate.</w:t>
      </w:r>
    </w:p>
    <w:p w14:paraId="15BB89B8" w14:textId="77777777" w:rsidR="0080539E" w:rsidRDefault="0080539E" w:rsidP="00FE4785">
      <w:pPr>
        <w:pStyle w:val="Heading3"/>
      </w:pPr>
      <w:r>
        <w:t>Customised Prosthetics</w:t>
      </w:r>
    </w:p>
    <w:p w14:paraId="569F0EC4" w14:textId="40FF2C21" w:rsidR="0080539E" w:rsidRPr="0017102A" w:rsidRDefault="0080539E" w:rsidP="0080539E">
      <w:pPr>
        <w:rPr>
          <w:rFonts w:cs="Tahoma"/>
        </w:rPr>
      </w:pPr>
      <w:r w:rsidRPr="0017102A">
        <w:rPr>
          <w:rFonts w:cs="Tahoma"/>
        </w:rPr>
        <w:t xml:space="preserve">This support category funds prescription and manufacture of customised prostheses requiring specialist skills. To date, there has been considerable conjecture as to whether the NDIA or the health system is responsible for funding of prosthetic eyes for people who are vision impaired. </w:t>
      </w:r>
      <w:r>
        <w:rPr>
          <w:rFonts w:cs="Tahoma"/>
        </w:rPr>
        <w:t xml:space="preserve">In our experience, the drafting of the </w:t>
      </w:r>
      <w:r w:rsidR="00C17ADD">
        <w:rPr>
          <w:rFonts w:cs="Tahoma"/>
        </w:rPr>
        <w:t>Support List</w:t>
      </w:r>
      <w:r w:rsidR="004C45A7">
        <w:rPr>
          <w:rFonts w:cs="Tahoma"/>
        </w:rPr>
        <w:t>s</w:t>
      </w:r>
      <w:r>
        <w:rPr>
          <w:rFonts w:cs="Tahoma"/>
        </w:rPr>
        <w:t xml:space="preserve"> has done little to dispel this confusion. We continue to encounter families who are stalled in unproductive dialogue between the N</w:t>
      </w:r>
      <w:r w:rsidR="00FF2C08">
        <w:rPr>
          <w:rFonts w:cs="Tahoma"/>
        </w:rPr>
        <w:t>DIA</w:t>
      </w:r>
      <w:r>
        <w:rPr>
          <w:rFonts w:cs="Tahoma"/>
        </w:rPr>
        <w:t xml:space="preserve"> and the health system regarding funding of ocular prosthetics for their children. </w:t>
      </w:r>
      <w:r w:rsidRPr="0017102A">
        <w:rPr>
          <w:rFonts w:cs="Tahoma"/>
        </w:rPr>
        <w:t xml:space="preserve">The argument </w:t>
      </w:r>
      <w:r>
        <w:rPr>
          <w:rFonts w:cs="Tahoma"/>
        </w:rPr>
        <w:t xml:space="preserve">generally </w:t>
      </w:r>
      <w:r w:rsidRPr="0017102A">
        <w:rPr>
          <w:rFonts w:cs="Tahoma"/>
        </w:rPr>
        <w:t xml:space="preserve">put forward by the NDIA is that these prostheses </w:t>
      </w:r>
      <w:r>
        <w:rPr>
          <w:rFonts w:cs="Tahoma"/>
        </w:rPr>
        <w:t xml:space="preserve">are cosmetic and </w:t>
      </w:r>
      <w:r w:rsidRPr="0017102A">
        <w:rPr>
          <w:rFonts w:cs="Tahoma"/>
        </w:rPr>
        <w:t xml:space="preserve">do not improve the participant’s functional capacity and should therefore be funded by State and Territory health </w:t>
      </w:r>
      <w:proofErr w:type="gramStart"/>
      <w:r w:rsidRPr="0017102A">
        <w:rPr>
          <w:rFonts w:cs="Tahoma"/>
        </w:rPr>
        <w:t>systems</w:t>
      </w:r>
      <w:r w:rsidR="00DA1E1F">
        <w:rPr>
          <w:rFonts w:cs="Tahoma"/>
        </w:rPr>
        <w:t>;</w:t>
      </w:r>
      <w:proofErr w:type="gramEnd"/>
      <w:r w:rsidRPr="0017102A">
        <w:rPr>
          <w:rFonts w:cs="Tahoma"/>
        </w:rPr>
        <w:t xml:space="preserve"> not by the Scheme. There is an opportunity </w:t>
      </w:r>
      <w:r>
        <w:rPr>
          <w:rFonts w:cs="Tahoma"/>
        </w:rPr>
        <w:t xml:space="preserve">in the refinement of the </w:t>
      </w:r>
      <w:r w:rsidR="00FF2C08">
        <w:rPr>
          <w:rFonts w:cs="Tahoma"/>
        </w:rPr>
        <w:t>S</w:t>
      </w:r>
      <w:r>
        <w:rPr>
          <w:rFonts w:cs="Tahoma"/>
        </w:rPr>
        <w:t xml:space="preserve">ection 10 rules </w:t>
      </w:r>
      <w:r w:rsidRPr="0017102A">
        <w:rPr>
          <w:rFonts w:cs="Tahoma"/>
        </w:rPr>
        <w:t>to clarify this point of uncertainty. If the policy intent is that the NDIA should only fund prosthetics that would increase or maintain a participant’s functional</w:t>
      </w:r>
      <w:r>
        <w:rPr>
          <w:rFonts w:ascii="Tahoma" w:hAnsi="Tahoma" w:cs="Tahoma"/>
        </w:rPr>
        <w:t xml:space="preserve"> </w:t>
      </w:r>
      <w:r w:rsidRPr="0017102A">
        <w:rPr>
          <w:rFonts w:cs="Tahoma"/>
        </w:rPr>
        <w:t>capacity, this should be</w:t>
      </w:r>
      <w:r>
        <w:rPr>
          <w:rFonts w:cs="Tahoma"/>
        </w:rPr>
        <w:t xml:space="preserve"> clearly stated. Similarly, if there are </w:t>
      </w:r>
      <w:proofErr w:type="gramStart"/>
      <w:r>
        <w:rPr>
          <w:rFonts w:cs="Tahoma"/>
        </w:rPr>
        <w:t>particular types</w:t>
      </w:r>
      <w:proofErr w:type="gramEnd"/>
      <w:r>
        <w:rPr>
          <w:rFonts w:cs="Tahoma"/>
        </w:rPr>
        <w:t xml:space="preserve"> of prosthetics that are categorically excluded, the specifics of these should be listed.</w:t>
      </w:r>
    </w:p>
    <w:p w14:paraId="3BF52A76" w14:textId="77777777" w:rsidR="0012255E" w:rsidRDefault="0012255E" w:rsidP="00FE4785">
      <w:pPr>
        <w:pStyle w:val="Heading2"/>
      </w:pPr>
      <w:r>
        <w:t xml:space="preserve">Additional Resources and requirements </w:t>
      </w:r>
    </w:p>
    <w:p w14:paraId="7A070E63" w14:textId="1D895530" w:rsidR="00603273" w:rsidRDefault="004F029A">
      <w:pPr>
        <w:rPr>
          <w:rFonts w:cs="Tahoma"/>
        </w:rPr>
      </w:pPr>
      <w:r>
        <w:rPr>
          <w:rFonts w:cs="Tahoma"/>
        </w:rPr>
        <w:t xml:space="preserve">Vision Australia is of the view that some additional </w:t>
      </w:r>
      <w:r w:rsidR="00AC0FA4">
        <w:rPr>
          <w:rFonts w:cs="Tahoma"/>
        </w:rPr>
        <w:t xml:space="preserve">resources and mechanisms are needed to ensure the long-term efficacy </w:t>
      </w:r>
      <w:r w:rsidR="00D82795">
        <w:rPr>
          <w:rFonts w:cs="Tahoma"/>
        </w:rPr>
        <w:t xml:space="preserve">of the Section 10 </w:t>
      </w:r>
      <w:r w:rsidR="0049212E">
        <w:rPr>
          <w:rFonts w:cs="Tahoma"/>
        </w:rPr>
        <w:t>r</w:t>
      </w:r>
      <w:r w:rsidR="00D82795">
        <w:rPr>
          <w:rFonts w:cs="Tahoma"/>
        </w:rPr>
        <w:t>ules.</w:t>
      </w:r>
    </w:p>
    <w:p w14:paraId="121062AB" w14:textId="77777777" w:rsidR="0012255E" w:rsidRDefault="0012255E" w:rsidP="00FE4785">
      <w:pPr>
        <w:pStyle w:val="Heading3"/>
      </w:pPr>
      <w:r>
        <w:t xml:space="preserve">Support for Intermediaries </w:t>
      </w:r>
    </w:p>
    <w:p w14:paraId="56315B5A" w14:textId="3CE2A1C6" w:rsidR="00D6610B" w:rsidRDefault="00FC19D7">
      <w:pPr>
        <w:rPr>
          <w:rFonts w:cs="Tahoma"/>
        </w:rPr>
      </w:pPr>
      <w:r>
        <w:rPr>
          <w:rFonts w:cs="Tahoma"/>
        </w:rPr>
        <w:t xml:space="preserve">Since the introduction of the Section 10 </w:t>
      </w:r>
      <w:r w:rsidR="0049212E">
        <w:rPr>
          <w:rFonts w:cs="Tahoma"/>
        </w:rPr>
        <w:t>r</w:t>
      </w:r>
      <w:r>
        <w:rPr>
          <w:rFonts w:cs="Tahoma"/>
        </w:rPr>
        <w:t xml:space="preserve">ules, Vision Australia has seen increasing risk aversion by intermediaries such as plan managers, who often become arbiters of the products and services a participant can access. </w:t>
      </w:r>
      <w:proofErr w:type="gramStart"/>
      <w:r w:rsidR="006C6C3E">
        <w:rPr>
          <w:rFonts w:cs="Tahoma"/>
        </w:rPr>
        <w:t>In particular, plan</w:t>
      </w:r>
      <w:proofErr w:type="gramEnd"/>
      <w:r w:rsidR="006C6C3E">
        <w:rPr>
          <w:rFonts w:cs="Tahoma"/>
        </w:rPr>
        <w:t xml:space="preserve"> managers frequently struggle to map individual products and services to the</w:t>
      </w:r>
      <w:r w:rsidR="00883999">
        <w:rPr>
          <w:rFonts w:cs="Tahoma"/>
        </w:rPr>
        <w:t xml:space="preserve"> categories of permitted supports that are established by the </w:t>
      </w:r>
      <w:r w:rsidR="0049212E">
        <w:rPr>
          <w:rFonts w:cs="Tahoma"/>
        </w:rPr>
        <w:t>r</w:t>
      </w:r>
      <w:r w:rsidR="00883999">
        <w:rPr>
          <w:rFonts w:cs="Tahoma"/>
        </w:rPr>
        <w:t xml:space="preserve">ules. </w:t>
      </w:r>
      <w:r>
        <w:rPr>
          <w:rFonts w:cs="Tahoma"/>
        </w:rPr>
        <w:t xml:space="preserve">It is not uncommon that they </w:t>
      </w:r>
      <w:r w:rsidR="00883999">
        <w:rPr>
          <w:rFonts w:cs="Tahoma"/>
        </w:rPr>
        <w:t xml:space="preserve">consequently </w:t>
      </w:r>
      <w:r>
        <w:rPr>
          <w:rFonts w:cs="Tahoma"/>
        </w:rPr>
        <w:t>withhold funding for legitimate</w:t>
      </w:r>
      <w:r w:rsidR="00EE51A0">
        <w:rPr>
          <w:rFonts w:cs="Tahoma"/>
        </w:rPr>
        <w:t xml:space="preserve"> </w:t>
      </w:r>
      <w:r w:rsidR="00D53BE0">
        <w:rPr>
          <w:rFonts w:cs="Tahoma"/>
        </w:rPr>
        <w:t xml:space="preserve">supports </w:t>
      </w:r>
      <w:r w:rsidR="00EE51A0">
        <w:rPr>
          <w:rFonts w:cs="Tahoma"/>
        </w:rPr>
        <w:t>under the misapprehension tha</w:t>
      </w:r>
      <w:r w:rsidR="00FA2084">
        <w:rPr>
          <w:rFonts w:cs="Tahoma"/>
        </w:rPr>
        <w:t xml:space="preserve">t if </w:t>
      </w:r>
      <w:r w:rsidR="00466BFB">
        <w:rPr>
          <w:rFonts w:cs="Tahoma"/>
        </w:rPr>
        <w:t>they are</w:t>
      </w:r>
      <w:r w:rsidR="00FA2084">
        <w:rPr>
          <w:rFonts w:cs="Tahoma"/>
        </w:rPr>
        <w:t xml:space="preserve"> not specifically stated on the </w:t>
      </w:r>
      <w:r w:rsidR="00D5770B">
        <w:rPr>
          <w:rFonts w:cs="Tahoma"/>
        </w:rPr>
        <w:t>Included Supports List</w:t>
      </w:r>
      <w:r w:rsidR="00FA2084">
        <w:rPr>
          <w:rFonts w:cs="Tahoma"/>
        </w:rPr>
        <w:t xml:space="preserve">, </w:t>
      </w:r>
      <w:r w:rsidR="00466BFB">
        <w:rPr>
          <w:rFonts w:cs="Tahoma"/>
        </w:rPr>
        <w:t xml:space="preserve">they are </w:t>
      </w:r>
      <w:r w:rsidR="00820982">
        <w:rPr>
          <w:rFonts w:cs="Tahoma"/>
        </w:rPr>
        <w:t xml:space="preserve">excluded. </w:t>
      </w:r>
      <w:r w:rsidR="00C27399">
        <w:rPr>
          <w:rFonts w:cs="Tahoma"/>
        </w:rPr>
        <w:t xml:space="preserve">This in turn increases administrative burden for service providers, </w:t>
      </w:r>
      <w:r w:rsidR="0026782D">
        <w:rPr>
          <w:rFonts w:cs="Tahoma"/>
        </w:rPr>
        <w:t xml:space="preserve">who </w:t>
      </w:r>
      <w:r w:rsidR="00466BFB">
        <w:rPr>
          <w:rFonts w:cs="Tahoma"/>
        </w:rPr>
        <w:t xml:space="preserve">must </w:t>
      </w:r>
      <w:r w:rsidR="0026782D">
        <w:rPr>
          <w:rFonts w:cs="Tahoma"/>
        </w:rPr>
        <w:t>invest time</w:t>
      </w:r>
      <w:r w:rsidR="00E36561">
        <w:rPr>
          <w:rFonts w:cs="Tahoma"/>
        </w:rPr>
        <w:t>,</w:t>
      </w:r>
      <w:r w:rsidR="0026782D">
        <w:rPr>
          <w:rFonts w:cs="Tahoma"/>
        </w:rPr>
        <w:t xml:space="preserve"> effort </w:t>
      </w:r>
      <w:r w:rsidR="00E36561">
        <w:rPr>
          <w:rFonts w:cs="Tahoma"/>
        </w:rPr>
        <w:t xml:space="preserve">and financial resources </w:t>
      </w:r>
      <w:r w:rsidR="0026782D">
        <w:rPr>
          <w:rFonts w:cs="Tahoma"/>
        </w:rPr>
        <w:t xml:space="preserve">in </w:t>
      </w:r>
      <w:r w:rsidR="00466BFB">
        <w:rPr>
          <w:rFonts w:cs="Tahoma"/>
        </w:rPr>
        <w:t xml:space="preserve">assisting </w:t>
      </w:r>
      <w:r w:rsidR="0026782D">
        <w:rPr>
          <w:rFonts w:cs="Tahoma"/>
        </w:rPr>
        <w:t xml:space="preserve">intermediaries </w:t>
      </w:r>
      <w:r w:rsidR="00466BFB">
        <w:rPr>
          <w:rFonts w:cs="Tahoma"/>
        </w:rPr>
        <w:t xml:space="preserve">to interpret the </w:t>
      </w:r>
      <w:r w:rsidR="00D5770B">
        <w:rPr>
          <w:rFonts w:cs="Tahoma"/>
        </w:rPr>
        <w:t>r</w:t>
      </w:r>
      <w:r w:rsidR="00A9237C">
        <w:rPr>
          <w:rFonts w:cs="Tahoma"/>
        </w:rPr>
        <w:t xml:space="preserve">ules. </w:t>
      </w:r>
      <w:r w:rsidR="00553970">
        <w:rPr>
          <w:rFonts w:cs="Tahoma"/>
        </w:rPr>
        <w:t xml:space="preserve">There is an ongoing need to </w:t>
      </w:r>
      <w:r w:rsidR="00AC7E2F">
        <w:rPr>
          <w:rFonts w:cs="Tahoma"/>
        </w:rPr>
        <w:t>educate plan managers an</w:t>
      </w:r>
      <w:r w:rsidR="00D5770B">
        <w:rPr>
          <w:rFonts w:cs="Tahoma"/>
        </w:rPr>
        <w:t xml:space="preserve">d </w:t>
      </w:r>
      <w:r w:rsidR="00AC7E2F">
        <w:rPr>
          <w:rFonts w:cs="Tahoma"/>
        </w:rPr>
        <w:t xml:space="preserve">support coordinators </w:t>
      </w:r>
      <w:r w:rsidR="005346F8">
        <w:rPr>
          <w:rFonts w:cs="Tahoma"/>
        </w:rPr>
        <w:t>concern</w:t>
      </w:r>
      <w:r w:rsidR="00BF219C">
        <w:rPr>
          <w:rFonts w:cs="Tahoma"/>
        </w:rPr>
        <w:t xml:space="preserve">ing the day-to-day application of the </w:t>
      </w:r>
      <w:r w:rsidR="00C17ADD">
        <w:rPr>
          <w:rFonts w:cs="Tahoma"/>
        </w:rPr>
        <w:t>Support List</w:t>
      </w:r>
      <w:r w:rsidR="00594AC9">
        <w:rPr>
          <w:rFonts w:cs="Tahoma"/>
        </w:rPr>
        <w:t xml:space="preserve">s. </w:t>
      </w:r>
      <w:r w:rsidR="00FA5A8A">
        <w:rPr>
          <w:rFonts w:cs="Tahoma"/>
        </w:rPr>
        <w:t>This is a task that cannot be taken on by service providers and must be facilitated through joint efforts by Government and the NDIA.</w:t>
      </w:r>
    </w:p>
    <w:p w14:paraId="2B6BBD3F" w14:textId="1DE32CAA" w:rsidR="00FA5A8A" w:rsidRDefault="001C11A4" w:rsidP="00FE4785">
      <w:pPr>
        <w:pStyle w:val="Heading3"/>
      </w:pPr>
      <w:r>
        <w:lastRenderedPageBreak/>
        <w:t xml:space="preserve">Review Mechanisms </w:t>
      </w:r>
    </w:p>
    <w:p w14:paraId="25FFEE86" w14:textId="07130891" w:rsidR="001C11A4" w:rsidRDefault="001C11A4">
      <w:pPr>
        <w:rPr>
          <w:rFonts w:cs="Tahoma"/>
        </w:rPr>
      </w:pPr>
      <w:r>
        <w:rPr>
          <w:rFonts w:cs="Tahoma"/>
        </w:rPr>
        <w:t xml:space="preserve">As the </w:t>
      </w:r>
      <w:r w:rsidR="00C17ADD">
        <w:rPr>
          <w:rFonts w:cs="Tahoma"/>
        </w:rPr>
        <w:t>Support List</w:t>
      </w:r>
      <w:r>
        <w:rPr>
          <w:rFonts w:cs="Tahoma"/>
        </w:rPr>
        <w:t xml:space="preserve">s become a permanent fixture within the </w:t>
      </w:r>
      <w:r w:rsidR="0082316B">
        <w:rPr>
          <w:rFonts w:cs="Tahoma"/>
        </w:rPr>
        <w:t xml:space="preserve">legislative </w:t>
      </w:r>
      <w:r>
        <w:rPr>
          <w:rFonts w:cs="Tahoma"/>
        </w:rPr>
        <w:t xml:space="preserve">framework, it </w:t>
      </w:r>
      <w:r w:rsidR="0082316B">
        <w:rPr>
          <w:rFonts w:cs="Tahoma"/>
        </w:rPr>
        <w:t xml:space="preserve">will be important to ensure that they are </w:t>
      </w:r>
      <w:r w:rsidR="00363551">
        <w:rPr>
          <w:rFonts w:cs="Tahoma"/>
        </w:rPr>
        <w:t xml:space="preserve">reviewed regularly by subject matter experts </w:t>
      </w:r>
      <w:r w:rsidR="007C37C7">
        <w:rPr>
          <w:rFonts w:cs="Tahoma"/>
        </w:rPr>
        <w:t xml:space="preserve">within the disability sector. </w:t>
      </w:r>
      <w:r w:rsidR="00BB2E04">
        <w:rPr>
          <w:rFonts w:cs="Tahoma"/>
        </w:rPr>
        <w:t xml:space="preserve">Vision Australia </w:t>
      </w:r>
      <w:r w:rsidR="00AE4E36">
        <w:rPr>
          <w:rFonts w:cs="Tahoma"/>
        </w:rPr>
        <w:t xml:space="preserve">suggests </w:t>
      </w:r>
      <w:r w:rsidR="00BB2E04">
        <w:rPr>
          <w:rFonts w:cs="Tahoma"/>
        </w:rPr>
        <w:t xml:space="preserve">that a review mechanism must be built </w:t>
      </w:r>
      <w:r w:rsidR="009674F1">
        <w:rPr>
          <w:rFonts w:cs="Tahoma"/>
        </w:rPr>
        <w:t xml:space="preserve">into the subordinate legislation. </w:t>
      </w:r>
      <w:r w:rsidR="00F16F6B">
        <w:rPr>
          <w:rFonts w:cs="Tahoma"/>
        </w:rPr>
        <w:t xml:space="preserve">This will help to future proof the </w:t>
      </w:r>
      <w:r w:rsidR="00C17ADD">
        <w:rPr>
          <w:rFonts w:cs="Tahoma"/>
        </w:rPr>
        <w:t>Support List</w:t>
      </w:r>
      <w:r w:rsidR="00F16F6B">
        <w:rPr>
          <w:rFonts w:cs="Tahoma"/>
        </w:rPr>
        <w:t xml:space="preserve">s in the long-term, ensuring that they are responsive to </w:t>
      </w:r>
      <w:r w:rsidR="00C53641">
        <w:rPr>
          <w:rFonts w:cs="Tahoma"/>
        </w:rPr>
        <w:t xml:space="preserve">technological innovation and reflect the diverse needs of participants. </w:t>
      </w:r>
      <w:r w:rsidR="00EF775E">
        <w:rPr>
          <w:rFonts w:cs="Tahoma"/>
        </w:rPr>
        <w:t xml:space="preserve">This will be particularly important for low incidence cohorts such as those who are blind or have low vision, </w:t>
      </w:r>
      <w:r w:rsidR="007502EA">
        <w:rPr>
          <w:rFonts w:cs="Tahoma"/>
        </w:rPr>
        <w:t xml:space="preserve">for whom </w:t>
      </w:r>
      <w:r w:rsidR="00DA19A7">
        <w:rPr>
          <w:rFonts w:cs="Tahoma"/>
        </w:rPr>
        <w:t xml:space="preserve">specialised service approaches are needed and </w:t>
      </w:r>
      <w:r w:rsidR="00387C88">
        <w:rPr>
          <w:rFonts w:cs="Tahoma"/>
        </w:rPr>
        <w:t xml:space="preserve">for whom new technologies </w:t>
      </w:r>
      <w:r w:rsidR="00236095">
        <w:rPr>
          <w:rFonts w:cs="Tahoma"/>
        </w:rPr>
        <w:t>have a significant impact on quality of life and independence.</w:t>
      </w:r>
    </w:p>
    <w:p w14:paraId="309C81A9" w14:textId="2E50BDFF" w:rsidR="00AE3D3A" w:rsidRDefault="00AE3D3A" w:rsidP="00FE4785">
      <w:pPr>
        <w:pStyle w:val="Heading2"/>
      </w:pPr>
      <w:r>
        <w:t xml:space="preserve">Conclusion </w:t>
      </w:r>
    </w:p>
    <w:p w14:paraId="0A728C18" w14:textId="53484FBB" w:rsidR="00AE3D3A" w:rsidRDefault="004A1AB0">
      <w:r>
        <w:t xml:space="preserve">Vision Australia thanks the Department of Social Services for its consideration of this submission. </w:t>
      </w:r>
      <w:r w:rsidR="00495FB9">
        <w:t xml:space="preserve">We look forward to further opportunities for feedback </w:t>
      </w:r>
      <w:r w:rsidR="006C3E7B">
        <w:t xml:space="preserve">and collaboration as the co-design process progresses. </w:t>
      </w:r>
      <w:r w:rsidR="003F5F4F">
        <w:t>We would be happy to provide further information about any of the matters discussed in this paper.</w:t>
      </w:r>
    </w:p>
    <w:p w14:paraId="2E0A44BE" w14:textId="77777777" w:rsidR="00F064F7" w:rsidRPr="00CA6F01" w:rsidRDefault="00F064F7" w:rsidP="009C63FB">
      <w:pPr>
        <w:pStyle w:val="Heading2"/>
      </w:pPr>
      <w:r w:rsidRPr="00CA6F01">
        <w:t>About Vision Australia</w:t>
      </w:r>
    </w:p>
    <w:p w14:paraId="5AFBF70D" w14:textId="77777777" w:rsidR="00F064F7" w:rsidRPr="0017102A" w:rsidRDefault="00F064F7" w:rsidP="00F064F7">
      <w:pPr>
        <w:jc w:val="both"/>
        <w:rPr>
          <w:rFonts w:cs="Arial"/>
          <w:kern w:val="0"/>
        </w:rPr>
      </w:pPr>
      <w:r w:rsidRPr="0017102A">
        <w:rPr>
          <w:rFonts w:cs="Arial"/>
          <w:kern w:val="0"/>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0F419940" w14:textId="77777777" w:rsidR="00F064F7" w:rsidRPr="0017102A" w:rsidRDefault="00F064F7" w:rsidP="00F064F7">
      <w:pPr>
        <w:jc w:val="both"/>
        <w:rPr>
          <w:rFonts w:cs="Arial"/>
          <w:kern w:val="0"/>
        </w:rPr>
      </w:pPr>
      <w:r w:rsidRPr="0017102A">
        <w:rPr>
          <w:rFonts w:cs="Arial"/>
          <w:kern w:val="0"/>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2A0D276" w14:textId="77777777" w:rsidR="00F064F7" w:rsidRPr="0017102A" w:rsidRDefault="00F064F7" w:rsidP="00F064F7">
      <w:pPr>
        <w:jc w:val="both"/>
        <w:rPr>
          <w:rFonts w:cs="Arial"/>
          <w:kern w:val="0"/>
        </w:rPr>
      </w:pPr>
      <w:r w:rsidRPr="0017102A">
        <w:rPr>
          <w:rFonts w:cs="Arial"/>
          <w:kern w:val="0"/>
        </w:rPr>
        <w:t>Vision Australia service delivery areas include:</w:t>
      </w:r>
    </w:p>
    <w:p w14:paraId="4EB6EB22" w14:textId="77777777" w:rsidR="00F064F7" w:rsidRDefault="00F064F7" w:rsidP="00F064F7">
      <w:pPr>
        <w:numPr>
          <w:ilvl w:val="0"/>
          <w:numId w:val="1"/>
        </w:numPr>
        <w:spacing w:after="200" w:line="276" w:lineRule="auto"/>
        <w:jc w:val="both"/>
        <w:rPr>
          <w:rFonts w:cs="Arial"/>
          <w:kern w:val="0"/>
        </w:rPr>
      </w:pPr>
      <w:r w:rsidRPr="0017102A">
        <w:rPr>
          <w:rFonts w:cs="Arial"/>
          <w:kern w:val="0"/>
        </w:rPr>
        <w:t>Allied Health and Therapy services, and registered provider of specialist supports for the NDIS and My Aged Care</w:t>
      </w:r>
    </w:p>
    <w:p w14:paraId="5A675144"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Aids and Equipment, and Assistive/Adaptive Technology training and support</w:t>
      </w:r>
    </w:p>
    <w:p w14:paraId="48A57658"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Seeing Eye Dogs</w:t>
      </w:r>
    </w:p>
    <w:p w14:paraId="0EB9E33E"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National Library Services</w:t>
      </w:r>
    </w:p>
    <w:p w14:paraId="0C4F69C3"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 xml:space="preserve">Early childhood and education services, and Felix Library for </w:t>
      </w:r>
      <w:proofErr w:type="gramStart"/>
      <w:r w:rsidRPr="0017102A">
        <w:rPr>
          <w:rFonts w:cs="Arial"/>
          <w:kern w:val="0"/>
        </w:rPr>
        <w:t>0-7 year olds</w:t>
      </w:r>
      <w:proofErr w:type="gramEnd"/>
    </w:p>
    <w:p w14:paraId="5D992612"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 xml:space="preserve">Employment services, including National Disability Employment Services </w:t>
      </w:r>
    </w:p>
    <w:p w14:paraId="57565E46"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Accessible information, and Alternate Format Production</w:t>
      </w:r>
    </w:p>
    <w:p w14:paraId="276B8630"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Vision Australia Radio network, and national partnership with Radio for the Print Handicapped</w:t>
      </w:r>
    </w:p>
    <w:p w14:paraId="6307A259"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t>Spectacles Program for the NSW Government</w:t>
      </w:r>
    </w:p>
    <w:p w14:paraId="36EC120A" w14:textId="77777777" w:rsidR="00F064F7" w:rsidRPr="0017102A" w:rsidRDefault="00F064F7" w:rsidP="00F064F7">
      <w:pPr>
        <w:numPr>
          <w:ilvl w:val="0"/>
          <w:numId w:val="1"/>
        </w:numPr>
        <w:spacing w:after="200" w:line="276" w:lineRule="auto"/>
        <w:jc w:val="both"/>
        <w:rPr>
          <w:rFonts w:cs="Arial"/>
          <w:kern w:val="0"/>
        </w:rPr>
      </w:pPr>
      <w:r w:rsidRPr="0017102A">
        <w:rPr>
          <w:rFonts w:cs="Arial"/>
          <w:kern w:val="0"/>
        </w:rPr>
        <w:lastRenderedPageBreak/>
        <w:t>Advocacy and Engagement, working collaboratively with Government, business and the community to eliminate the barriers our clients face in making life choices and fully exercising rights as Australian citizens.</w:t>
      </w:r>
    </w:p>
    <w:p w14:paraId="197CDE14" w14:textId="77777777" w:rsidR="00F064F7" w:rsidRPr="0017102A" w:rsidRDefault="00F064F7" w:rsidP="00F064F7">
      <w:pPr>
        <w:jc w:val="both"/>
        <w:rPr>
          <w:rFonts w:cs="Arial"/>
          <w:kern w:val="0"/>
        </w:rPr>
      </w:pPr>
      <w:r w:rsidRPr="0017102A">
        <w:rPr>
          <w:rFonts w:cs="Arial"/>
          <w:kern w:val="0"/>
        </w:rPr>
        <w:t xml:space="preserve">Vision Australia has gained unrivalled knowledge and experience through constant interaction with clients and their families. We provide services to more than 26,000 people each year, </w:t>
      </w:r>
      <w:proofErr w:type="gramStart"/>
      <w:r w:rsidRPr="0017102A">
        <w:rPr>
          <w:rFonts w:cs="Arial"/>
          <w:kern w:val="0"/>
        </w:rPr>
        <w:t>and also</w:t>
      </w:r>
      <w:proofErr w:type="gramEnd"/>
      <w:r w:rsidRPr="0017102A">
        <w:rPr>
          <w:rFonts w:cs="Arial"/>
          <w:kern w:val="0"/>
        </w:rPr>
        <w:t xml:space="preserve">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666073F0" w14:textId="77777777" w:rsidR="00F064F7" w:rsidRPr="0017102A" w:rsidRDefault="00F064F7" w:rsidP="00F064F7">
      <w:pPr>
        <w:jc w:val="both"/>
        <w:rPr>
          <w:rFonts w:cs="Arial"/>
          <w:kern w:val="0"/>
        </w:rPr>
      </w:pPr>
      <w:r w:rsidRPr="0017102A">
        <w:rPr>
          <w:rFonts w:cs="Arial"/>
          <w:kern w:val="0"/>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1D4CB3C1" w14:textId="77777777" w:rsidR="00F064F7" w:rsidRPr="0017102A" w:rsidRDefault="00F064F7" w:rsidP="00F064F7">
      <w:pPr>
        <w:jc w:val="both"/>
        <w:rPr>
          <w:rFonts w:cs="Arial"/>
          <w:kern w:val="0"/>
        </w:rPr>
      </w:pPr>
      <w:r w:rsidRPr="0017102A">
        <w:rPr>
          <w:rFonts w:cs="Arial"/>
          <w:kern w:val="0"/>
        </w:rPr>
        <w:t>We also operate Memorandums of Understanding with Australian Hearing, and the Aboriginal &amp; Torres Strait Islander Community Health Service.</w:t>
      </w:r>
    </w:p>
    <w:p w14:paraId="2298A65E" w14:textId="77777777" w:rsidR="00F064F7" w:rsidRPr="00CA6F01" w:rsidRDefault="00F064F7" w:rsidP="00F064F7">
      <w:pPr>
        <w:jc w:val="both"/>
        <w:rPr>
          <w:rFonts w:ascii="Arial" w:hAnsi="Arial" w:cs="Arial"/>
          <w:kern w:val="0"/>
          <w:sz w:val="24"/>
          <w:szCs w:val="24"/>
        </w:rPr>
      </w:pPr>
    </w:p>
    <w:p w14:paraId="553320EA" w14:textId="77777777" w:rsidR="00F064F7" w:rsidRPr="00CA6F01" w:rsidRDefault="00F064F7" w:rsidP="00F064F7">
      <w:pPr>
        <w:jc w:val="both"/>
        <w:rPr>
          <w:rFonts w:ascii="Arial" w:hAnsi="Arial" w:cs="Arial"/>
          <w:sz w:val="24"/>
          <w:szCs w:val="24"/>
        </w:rPr>
      </w:pPr>
    </w:p>
    <w:p w14:paraId="4921BADB" w14:textId="77777777" w:rsidR="00F064F7" w:rsidRDefault="00F064F7"/>
    <w:sectPr w:rsidR="00F06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B116" w14:textId="77777777" w:rsidR="00215B36" w:rsidRDefault="00215B36" w:rsidP="0089030C">
      <w:pPr>
        <w:spacing w:after="0" w:line="240" w:lineRule="auto"/>
      </w:pPr>
      <w:r>
        <w:separator/>
      </w:r>
    </w:p>
  </w:endnote>
  <w:endnote w:type="continuationSeparator" w:id="0">
    <w:p w14:paraId="4EAD4634" w14:textId="77777777" w:rsidR="00215B36" w:rsidRDefault="00215B36" w:rsidP="0089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8010" w14:textId="77777777" w:rsidR="00215B36" w:rsidRDefault="00215B36" w:rsidP="0089030C">
      <w:pPr>
        <w:spacing w:after="0" w:line="240" w:lineRule="auto"/>
      </w:pPr>
      <w:r>
        <w:separator/>
      </w:r>
    </w:p>
  </w:footnote>
  <w:footnote w:type="continuationSeparator" w:id="0">
    <w:p w14:paraId="696AE76C" w14:textId="77777777" w:rsidR="00215B36" w:rsidRDefault="00215B36" w:rsidP="00890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0044"/>
    <w:multiLevelType w:val="hybridMultilevel"/>
    <w:tmpl w:val="99D2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4A942D2"/>
    <w:multiLevelType w:val="hybridMultilevel"/>
    <w:tmpl w:val="65E2F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8243477">
    <w:abstractNumId w:val="0"/>
  </w:num>
  <w:num w:numId="2" w16cid:durableId="80697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74"/>
    <w:rsid w:val="00001B00"/>
    <w:rsid w:val="00006074"/>
    <w:rsid w:val="000128A6"/>
    <w:rsid w:val="0001375D"/>
    <w:rsid w:val="0002572F"/>
    <w:rsid w:val="00055129"/>
    <w:rsid w:val="00066CBD"/>
    <w:rsid w:val="0008165A"/>
    <w:rsid w:val="00091B92"/>
    <w:rsid w:val="000A4734"/>
    <w:rsid w:val="000A4D05"/>
    <w:rsid w:val="000A7CCF"/>
    <w:rsid w:val="000B21C2"/>
    <w:rsid w:val="000B433D"/>
    <w:rsid w:val="000B55A2"/>
    <w:rsid w:val="000C6501"/>
    <w:rsid w:val="000E1D4B"/>
    <w:rsid w:val="000E4C37"/>
    <w:rsid w:val="000F7477"/>
    <w:rsid w:val="00104D74"/>
    <w:rsid w:val="00105968"/>
    <w:rsid w:val="0012255E"/>
    <w:rsid w:val="00122C70"/>
    <w:rsid w:val="001234EC"/>
    <w:rsid w:val="00123E39"/>
    <w:rsid w:val="001463CA"/>
    <w:rsid w:val="00175B3D"/>
    <w:rsid w:val="00195FF2"/>
    <w:rsid w:val="001B0269"/>
    <w:rsid w:val="001B2765"/>
    <w:rsid w:val="001C11A4"/>
    <w:rsid w:val="001C3A33"/>
    <w:rsid w:val="001D4B48"/>
    <w:rsid w:val="001D59A6"/>
    <w:rsid w:val="00211EC2"/>
    <w:rsid w:val="00215B36"/>
    <w:rsid w:val="00215C2F"/>
    <w:rsid w:val="002222DD"/>
    <w:rsid w:val="002275F5"/>
    <w:rsid w:val="00236095"/>
    <w:rsid w:val="00245593"/>
    <w:rsid w:val="00250666"/>
    <w:rsid w:val="0025623A"/>
    <w:rsid w:val="00257307"/>
    <w:rsid w:val="002628B4"/>
    <w:rsid w:val="0026782D"/>
    <w:rsid w:val="00277E17"/>
    <w:rsid w:val="002A2727"/>
    <w:rsid w:val="002B2690"/>
    <w:rsid w:val="002B284D"/>
    <w:rsid w:val="002C0968"/>
    <w:rsid w:val="002D2F95"/>
    <w:rsid w:val="002D3C2F"/>
    <w:rsid w:val="002D6E39"/>
    <w:rsid w:val="002E4D05"/>
    <w:rsid w:val="002F065C"/>
    <w:rsid w:val="002F7EB3"/>
    <w:rsid w:val="00300BED"/>
    <w:rsid w:val="0030457A"/>
    <w:rsid w:val="003179A3"/>
    <w:rsid w:val="00321E7C"/>
    <w:rsid w:val="00324857"/>
    <w:rsid w:val="00336D6E"/>
    <w:rsid w:val="003404A3"/>
    <w:rsid w:val="00346BDB"/>
    <w:rsid w:val="0036255B"/>
    <w:rsid w:val="00362686"/>
    <w:rsid w:val="00363551"/>
    <w:rsid w:val="00387C88"/>
    <w:rsid w:val="003913D4"/>
    <w:rsid w:val="00392FCC"/>
    <w:rsid w:val="003A367D"/>
    <w:rsid w:val="003B5980"/>
    <w:rsid w:val="003D4C64"/>
    <w:rsid w:val="003E6B00"/>
    <w:rsid w:val="003F5F4F"/>
    <w:rsid w:val="00400074"/>
    <w:rsid w:val="00424D48"/>
    <w:rsid w:val="004273F6"/>
    <w:rsid w:val="00451D96"/>
    <w:rsid w:val="00456501"/>
    <w:rsid w:val="00463D8A"/>
    <w:rsid w:val="00466BFB"/>
    <w:rsid w:val="004676F5"/>
    <w:rsid w:val="00481081"/>
    <w:rsid w:val="00490E48"/>
    <w:rsid w:val="0049212E"/>
    <w:rsid w:val="0049530C"/>
    <w:rsid w:val="00495FB9"/>
    <w:rsid w:val="004A11A1"/>
    <w:rsid w:val="004A1AB0"/>
    <w:rsid w:val="004A1C81"/>
    <w:rsid w:val="004B11B9"/>
    <w:rsid w:val="004B3123"/>
    <w:rsid w:val="004C4307"/>
    <w:rsid w:val="004C45A7"/>
    <w:rsid w:val="004C799F"/>
    <w:rsid w:val="004D2564"/>
    <w:rsid w:val="004D76F7"/>
    <w:rsid w:val="004F029A"/>
    <w:rsid w:val="004F5707"/>
    <w:rsid w:val="00502C63"/>
    <w:rsid w:val="00505998"/>
    <w:rsid w:val="00507DEA"/>
    <w:rsid w:val="005139E4"/>
    <w:rsid w:val="005346F8"/>
    <w:rsid w:val="0054432F"/>
    <w:rsid w:val="005473BB"/>
    <w:rsid w:val="005479E8"/>
    <w:rsid w:val="00553970"/>
    <w:rsid w:val="00555552"/>
    <w:rsid w:val="00555F7D"/>
    <w:rsid w:val="00566A4D"/>
    <w:rsid w:val="0057705A"/>
    <w:rsid w:val="00580E0E"/>
    <w:rsid w:val="00594AC9"/>
    <w:rsid w:val="005A139E"/>
    <w:rsid w:val="005B5C72"/>
    <w:rsid w:val="005C196E"/>
    <w:rsid w:val="005D6E14"/>
    <w:rsid w:val="005F07A9"/>
    <w:rsid w:val="005F242A"/>
    <w:rsid w:val="005F3D09"/>
    <w:rsid w:val="005F40D8"/>
    <w:rsid w:val="00603273"/>
    <w:rsid w:val="00620477"/>
    <w:rsid w:val="006238D6"/>
    <w:rsid w:val="00625679"/>
    <w:rsid w:val="006419AA"/>
    <w:rsid w:val="006443DB"/>
    <w:rsid w:val="00647531"/>
    <w:rsid w:val="00650CE8"/>
    <w:rsid w:val="0065121A"/>
    <w:rsid w:val="006604AD"/>
    <w:rsid w:val="006633C8"/>
    <w:rsid w:val="006642B6"/>
    <w:rsid w:val="006654F2"/>
    <w:rsid w:val="00666C86"/>
    <w:rsid w:val="00672013"/>
    <w:rsid w:val="006734CF"/>
    <w:rsid w:val="00682F21"/>
    <w:rsid w:val="0068362E"/>
    <w:rsid w:val="0068757E"/>
    <w:rsid w:val="00692F7A"/>
    <w:rsid w:val="00695B7B"/>
    <w:rsid w:val="006C3E7B"/>
    <w:rsid w:val="006C66B6"/>
    <w:rsid w:val="006C6C3E"/>
    <w:rsid w:val="006D3498"/>
    <w:rsid w:val="006D6F58"/>
    <w:rsid w:val="006D763D"/>
    <w:rsid w:val="006E1289"/>
    <w:rsid w:val="006F4620"/>
    <w:rsid w:val="006F77A8"/>
    <w:rsid w:val="0070358A"/>
    <w:rsid w:val="00704402"/>
    <w:rsid w:val="00711C12"/>
    <w:rsid w:val="00723B93"/>
    <w:rsid w:val="0072771E"/>
    <w:rsid w:val="007502EA"/>
    <w:rsid w:val="00754D17"/>
    <w:rsid w:val="007860AD"/>
    <w:rsid w:val="007A197A"/>
    <w:rsid w:val="007B1C71"/>
    <w:rsid w:val="007B3D91"/>
    <w:rsid w:val="007C37C7"/>
    <w:rsid w:val="007C77FF"/>
    <w:rsid w:val="007D2F38"/>
    <w:rsid w:val="007D3E33"/>
    <w:rsid w:val="007E1455"/>
    <w:rsid w:val="00803035"/>
    <w:rsid w:val="0080539E"/>
    <w:rsid w:val="00810575"/>
    <w:rsid w:val="00810791"/>
    <w:rsid w:val="00820982"/>
    <w:rsid w:val="0082316B"/>
    <w:rsid w:val="008238C5"/>
    <w:rsid w:val="00826AE9"/>
    <w:rsid w:val="008308B4"/>
    <w:rsid w:val="00841EF8"/>
    <w:rsid w:val="00862969"/>
    <w:rsid w:val="00864BF0"/>
    <w:rsid w:val="00873C3C"/>
    <w:rsid w:val="00883999"/>
    <w:rsid w:val="0089030C"/>
    <w:rsid w:val="00892964"/>
    <w:rsid w:val="008A1575"/>
    <w:rsid w:val="008A6197"/>
    <w:rsid w:val="008C61AA"/>
    <w:rsid w:val="008D3AB4"/>
    <w:rsid w:val="008E2AF0"/>
    <w:rsid w:val="008E7F06"/>
    <w:rsid w:val="00901A3E"/>
    <w:rsid w:val="00901F52"/>
    <w:rsid w:val="009032F1"/>
    <w:rsid w:val="00907759"/>
    <w:rsid w:val="00907F18"/>
    <w:rsid w:val="0091552F"/>
    <w:rsid w:val="009260D6"/>
    <w:rsid w:val="00927CDF"/>
    <w:rsid w:val="00942773"/>
    <w:rsid w:val="009619BA"/>
    <w:rsid w:val="009674DC"/>
    <w:rsid w:val="009674F1"/>
    <w:rsid w:val="009835B9"/>
    <w:rsid w:val="009934C3"/>
    <w:rsid w:val="009B799D"/>
    <w:rsid w:val="009C20E3"/>
    <w:rsid w:val="009C4C03"/>
    <w:rsid w:val="009C63FB"/>
    <w:rsid w:val="009D05FD"/>
    <w:rsid w:val="009D3D66"/>
    <w:rsid w:val="009F1B6E"/>
    <w:rsid w:val="00A06836"/>
    <w:rsid w:val="00A108F3"/>
    <w:rsid w:val="00A119BB"/>
    <w:rsid w:val="00A24742"/>
    <w:rsid w:val="00A24C25"/>
    <w:rsid w:val="00A25F8A"/>
    <w:rsid w:val="00A341E3"/>
    <w:rsid w:val="00A36276"/>
    <w:rsid w:val="00A416BF"/>
    <w:rsid w:val="00A45E23"/>
    <w:rsid w:val="00A57B0A"/>
    <w:rsid w:val="00A72F5B"/>
    <w:rsid w:val="00A83955"/>
    <w:rsid w:val="00A85DB8"/>
    <w:rsid w:val="00A9237C"/>
    <w:rsid w:val="00A9595C"/>
    <w:rsid w:val="00A96FE1"/>
    <w:rsid w:val="00AA3EB9"/>
    <w:rsid w:val="00AB28E5"/>
    <w:rsid w:val="00AC0FA4"/>
    <w:rsid w:val="00AC45C2"/>
    <w:rsid w:val="00AC7E2F"/>
    <w:rsid w:val="00AD186E"/>
    <w:rsid w:val="00AE3D3A"/>
    <w:rsid w:val="00AE4E36"/>
    <w:rsid w:val="00B078FD"/>
    <w:rsid w:val="00B115F4"/>
    <w:rsid w:val="00B2056B"/>
    <w:rsid w:val="00B24498"/>
    <w:rsid w:val="00B35EF9"/>
    <w:rsid w:val="00B715B1"/>
    <w:rsid w:val="00BB2E04"/>
    <w:rsid w:val="00BC1D23"/>
    <w:rsid w:val="00BC1FF3"/>
    <w:rsid w:val="00BC7898"/>
    <w:rsid w:val="00BD01BE"/>
    <w:rsid w:val="00BD1A4F"/>
    <w:rsid w:val="00BD1F75"/>
    <w:rsid w:val="00BD32D4"/>
    <w:rsid w:val="00BE4C33"/>
    <w:rsid w:val="00BF219C"/>
    <w:rsid w:val="00BF498F"/>
    <w:rsid w:val="00BF7811"/>
    <w:rsid w:val="00C00BB9"/>
    <w:rsid w:val="00C17ADD"/>
    <w:rsid w:val="00C22431"/>
    <w:rsid w:val="00C27399"/>
    <w:rsid w:val="00C403D1"/>
    <w:rsid w:val="00C53641"/>
    <w:rsid w:val="00C609FA"/>
    <w:rsid w:val="00C67CFD"/>
    <w:rsid w:val="00C70EE9"/>
    <w:rsid w:val="00C81996"/>
    <w:rsid w:val="00C91DD3"/>
    <w:rsid w:val="00CB0749"/>
    <w:rsid w:val="00CB2F16"/>
    <w:rsid w:val="00CB4A6B"/>
    <w:rsid w:val="00CC46A4"/>
    <w:rsid w:val="00CD4CE7"/>
    <w:rsid w:val="00CE0872"/>
    <w:rsid w:val="00CF3D27"/>
    <w:rsid w:val="00D051F8"/>
    <w:rsid w:val="00D06DA2"/>
    <w:rsid w:val="00D3057F"/>
    <w:rsid w:val="00D5239D"/>
    <w:rsid w:val="00D53BE0"/>
    <w:rsid w:val="00D5770B"/>
    <w:rsid w:val="00D61237"/>
    <w:rsid w:val="00D61786"/>
    <w:rsid w:val="00D62F99"/>
    <w:rsid w:val="00D6610B"/>
    <w:rsid w:val="00D82795"/>
    <w:rsid w:val="00D82E1B"/>
    <w:rsid w:val="00D90789"/>
    <w:rsid w:val="00D95168"/>
    <w:rsid w:val="00D971E0"/>
    <w:rsid w:val="00DA19A7"/>
    <w:rsid w:val="00DA1E1F"/>
    <w:rsid w:val="00DA7174"/>
    <w:rsid w:val="00DB3FD6"/>
    <w:rsid w:val="00DB777F"/>
    <w:rsid w:val="00DC253A"/>
    <w:rsid w:val="00DE78CD"/>
    <w:rsid w:val="00DF260F"/>
    <w:rsid w:val="00E11CAF"/>
    <w:rsid w:val="00E202BB"/>
    <w:rsid w:val="00E271B0"/>
    <w:rsid w:val="00E27EC9"/>
    <w:rsid w:val="00E36561"/>
    <w:rsid w:val="00E44DF5"/>
    <w:rsid w:val="00E45990"/>
    <w:rsid w:val="00E46707"/>
    <w:rsid w:val="00E53267"/>
    <w:rsid w:val="00E6068C"/>
    <w:rsid w:val="00E7179D"/>
    <w:rsid w:val="00E77138"/>
    <w:rsid w:val="00E90B14"/>
    <w:rsid w:val="00E90F65"/>
    <w:rsid w:val="00E93810"/>
    <w:rsid w:val="00EB54CA"/>
    <w:rsid w:val="00ED5592"/>
    <w:rsid w:val="00EE4947"/>
    <w:rsid w:val="00EE51A0"/>
    <w:rsid w:val="00EF3388"/>
    <w:rsid w:val="00EF775E"/>
    <w:rsid w:val="00F04BF9"/>
    <w:rsid w:val="00F06127"/>
    <w:rsid w:val="00F064F7"/>
    <w:rsid w:val="00F12545"/>
    <w:rsid w:val="00F13707"/>
    <w:rsid w:val="00F15959"/>
    <w:rsid w:val="00F16102"/>
    <w:rsid w:val="00F16F6B"/>
    <w:rsid w:val="00F358E9"/>
    <w:rsid w:val="00F530A6"/>
    <w:rsid w:val="00F53492"/>
    <w:rsid w:val="00F54841"/>
    <w:rsid w:val="00F7055C"/>
    <w:rsid w:val="00F82DBD"/>
    <w:rsid w:val="00FA2084"/>
    <w:rsid w:val="00FA5A8A"/>
    <w:rsid w:val="00FB0736"/>
    <w:rsid w:val="00FB0DE1"/>
    <w:rsid w:val="00FB751E"/>
    <w:rsid w:val="00FC19D7"/>
    <w:rsid w:val="00FC4592"/>
    <w:rsid w:val="00FC47DA"/>
    <w:rsid w:val="00FD1817"/>
    <w:rsid w:val="00FD3310"/>
    <w:rsid w:val="00FD46A7"/>
    <w:rsid w:val="00FD491D"/>
    <w:rsid w:val="00FD52A5"/>
    <w:rsid w:val="00FE4785"/>
    <w:rsid w:val="00FF2C08"/>
    <w:rsid w:val="00FF66F9"/>
    <w:rsid w:val="00FF6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D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0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0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0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074"/>
    <w:rPr>
      <w:rFonts w:eastAsiaTheme="majorEastAsia" w:cstheme="majorBidi"/>
      <w:color w:val="272727" w:themeColor="text1" w:themeTint="D8"/>
    </w:rPr>
  </w:style>
  <w:style w:type="paragraph" w:styleId="Title">
    <w:name w:val="Title"/>
    <w:basedOn w:val="Normal"/>
    <w:next w:val="Normal"/>
    <w:link w:val="TitleChar"/>
    <w:uiPriority w:val="10"/>
    <w:qFormat/>
    <w:rsid w:val="00400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074"/>
    <w:pPr>
      <w:spacing w:before="160"/>
      <w:jc w:val="center"/>
    </w:pPr>
    <w:rPr>
      <w:i/>
      <w:iCs/>
      <w:color w:val="404040" w:themeColor="text1" w:themeTint="BF"/>
    </w:rPr>
  </w:style>
  <w:style w:type="character" w:customStyle="1" w:styleId="QuoteChar">
    <w:name w:val="Quote Char"/>
    <w:basedOn w:val="DefaultParagraphFont"/>
    <w:link w:val="Quote"/>
    <w:uiPriority w:val="29"/>
    <w:rsid w:val="00400074"/>
    <w:rPr>
      <w:i/>
      <w:iCs/>
      <w:color w:val="404040" w:themeColor="text1" w:themeTint="BF"/>
    </w:rPr>
  </w:style>
  <w:style w:type="paragraph" w:styleId="ListParagraph">
    <w:name w:val="List Paragraph"/>
    <w:basedOn w:val="Normal"/>
    <w:uiPriority w:val="34"/>
    <w:qFormat/>
    <w:rsid w:val="00400074"/>
    <w:pPr>
      <w:ind w:left="720"/>
      <w:contextualSpacing/>
    </w:pPr>
  </w:style>
  <w:style w:type="character" w:styleId="IntenseEmphasis">
    <w:name w:val="Intense Emphasis"/>
    <w:basedOn w:val="DefaultParagraphFont"/>
    <w:uiPriority w:val="21"/>
    <w:qFormat/>
    <w:rsid w:val="00400074"/>
    <w:rPr>
      <w:i/>
      <w:iCs/>
      <w:color w:val="0F4761" w:themeColor="accent1" w:themeShade="BF"/>
    </w:rPr>
  </w:style>
  <w:style w:type="paragraph" w:styleId="IntenseQuote">
    <w:name w:val="Intense Quote"/>
    <w:basedOn w:val="Normal"/>
    <w:next w:val="Normal"/>
    <w:link w:val="IntenseQuoteChar"/>
    <w:uiPriority w:val="30"/>
    <w:qFormat/>
    <w:rsid w:val="00400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074"/>
    <w:rPr>
      <w:i/>
      <w:iCs/>
      <w:color w:val="0F4761" w:themeColor="accent1" w:themeShade="BF"/>
    </w:rPr>
  </w:style>
  <w:style w:type="character" w:styleId="IntenseReference">
    <w:name w:val="Intense Reference"/>
    <w:basedOn w:val="DefaultParagraphFont"/>
    <w:uiPriority w:val="32"/>
    <w:qFormat/>
    <w:rsid w:val="00400074"/>
    <w:rPr>
      <w:b/>
      <w:bCs/>
      <w:smallCaps/>
      <w:color w:val="0F4761" w:themeColor="accent1" w:themeShade="BF"/>
      <w:spacing w:val="5"/>
    </w:rPr>
  </w:style>
  <w:style w:type="character" w:styleId="CommentReference">
    <w:name w:val="annotation reference"/>
    <w:basedOn w:val="DefaultParagraphFont"/>
    <w:uiPriority w:val="99"/>
    <w:semiHidden/>
    <w:unhideWhenUsed/>
    <w:rsid w:val="00A24742"/>
    <w:rPr>
      <w:sz w:val="16"/>
      <w:szCs w:val="16"/>
    </w:rPr>
  </w:style>
  <w:style w:type="paragraph" w:styleId="CommentText">
    <w:name w:val="annotation text"/>
    <w:basedOn w:val="Normal"/>
    <w:link w:val="CommentTextChar"/>
    <w:uiPriority w:val="99"/>
    <w:unhideWhenUsed/>
    <w:rsid w:val="00A24742"/>
    <w:pPr>
      <w:spacing w:line="240" w:lineRule="auto"/>
    </w:pPr>
    <w:rPr>
      <w:sz w:val="20"/>
      <w:szCs w:val="20"/>
    </w:rPr>
  </w:style>
  <w:style w:type="character" w:customStyle="1" w:styleId="CommentTextChar">
    <w:name w:val="Comment Text Char"/>
    <w:basedOn w:val="DefaultParagraphFont"/>
    <w:link w:val="CommentText"/>
    <w:uiPriority w:val="99"/>
    <w:rsid w:val="00A24742"/>
    <w:rPr>
      <w:sz w:val="20"/>
      <w:szCs w:val="20"/>
    </w:rPr>
  </w:style>
  <w:style w:type="paragraph" w:styleId="CommentSubject">
    <w:name w:val="annotation subject"/>
    <w:basedOn w:val="CommentText"/>
    <w:next w:val="CommentText"/>
    <w:link w:val="CommentSubjectChar"/>
    <w:uiPriority w:val="99"/>
    <w:semiHidden/>
    <w:unhideWhenUsed/>
    <w:rsid w:val="00A24742"/>
    <w:rPr>
      <w:b/>
      <w:bCs/>
    </w:rPr>
  </w:style>
  <w:style w:type="character" w:customStyle="1" w:styleId="CommentSubjectChar">
    <w:name w:val="Comment Subject Char"/>
    <w:basedOn w:val="CommentTextChar"/>
    <w:link w:val="CommentSubject"/>
    <w:uiPriority w:val="99"/>
    <w:semiHidden/>
    <w:rsid w:val="00A24742"/>
    <w:rPr>
      <w:b/>
      <w:bCs/>
      <w:sz w:val="20"/>
      <w:szCs w:val="20"/>
    </w:rPr>
  </w:style>
  <w:style w:type="paragraph" w:styleId="Header">
    <w:name w:val="header"/>
    <w:basedOn w:val="Normal"/>
    <w:link w:val="HeaderChar"/>
    <w:uiPriority w:val="99"/>
    <w:unhideWhenUsed/>
    <w:rsid w:val="00890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30C"/>
  </w:style>
  <w:style w:type="paragraph" w:styleId="Footer">
    <w:name w:val="footer"/>
    <w:basedOn w:val="Normal"/>
    <w:link w:val="FooterChar"/>
    <w:uiPriority w:val="99"/>
    <w:unhideWhenUsed/>
    <w:rsid w:val="00890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31A35-F0E8-4827-AAFA-662E1DC5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14905</Characters>
  <Application>Microsoft Office Word</Application>
  <DocSecurity>0</DocSecurity>
  <Lines>231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2026-02-13T01:57:00Z</dcterms:created>
  <dcterms:modified xsi:type="dcterms:W3CDTF">2026-02-13T01:57:00Z</dcterms:modified>
</cp:coreProperties>
</file>