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01457" w14:textId="2CABB33D" w:rsidR="009715D4" w:rsidRPr="00AA1E9F" w:rsidRDefault="009715D4" w:rsidP="00B57341">
      <w:pPr>
        <w:rPr>
          <w:b/>
          <w:bCs/>
          <w:sz w:val="40"/>
          <w:szCs w:val="40"/>
        </w:rPr>
      </w:pPr>
      <w:r w:rsidRPr="00AA1E9F">
        <w:rPr>
          <w:b/>
          <w:noProof/>
          <w:szCs w:val="24"/>
        </w:rPr>
        <w:drawing>
          <wp:anchor distT="0" distB="0" distL="114300" distR="114300" simplePos="0" relativeHeight="251659264" behindDoc="0" locked="0" layoutInCell="1" allowOverlap="1" wp14:anchorId="2EA9274C" wp14:editId="2A555259">
            <wp:simplePos x="0" y="0"/>
            <wp:positionH relativeFrom="column">
              <wp:posOffset>6350</wp:posOffset>
            </wp:positionH>
            <wp:positionV relativeFrom="paragraph">
              <wp:posOffset>190500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00F87EFE">
        <w:rPr>
          <w:b/>
          <w:bCs/>
          <w:sz w:val="40"/>
          <w:szCs w:val="40"/>
        </w:rPr>
        <w:tab/>
      </w:r>
      <w:r w:rsidR="00B821ED" w:rsidRPr="00AA1E9F">
        <w:rPr>
          <w:b/>
          <w:bCs/>
          <w:sz w:val="40"/>
          <w:szCs w:val="40"/>
        </w:rPr>
        <w:tab/>
      </w:r>
      <w:r w:rsidR="00543DE5" w:rsidRPr="00AA1E9F">
        <w:rPr>
          <w:b/>
          <w:bCs/>
          <w:sz w:val="40"/>
          <w:szCs w:val="40"/>
        </w:rPr>
        <w:tab/>
      </w:r>
      <w:r w:rsidRPr="00AA1E9F">
        <w:rPr>
          <w:b/>
          <w:bCs/>
          <w:sz w:val="40"/>
          <w:szCs w:val="40"/>
        </w:rPr>
        <w:t xml:space="preserve"> </w:t>
      </w:r>
    </w:p>
    <w:p w14:paraId="3F701E14" w14:textId="475F3063" w:rsidR="009715D4" w:rsidRPr="00AA1E9F" w:rsidRDefault="009715D4" w:rsidP="009715D4">
      <w:r w:rsidRPr="00AA1E9F">
        <w:t xml:space="preserve"> </w:t>
      </w:r>
    </w:p>
    <w:p w14:paraId="4B3EB60A" w14:textId="77777777" w:rsidR="009715D4" w:rsidRPr="00AA1E9F" w:rsidRDefault="009715D4" w:rsidP="009715D4"/>
    <w:p w14:paraId="1654FE26" w14:textId="77777777" w:rsidR="009715D4" w:rsidRPr="00AA1E9F" w:rsidRDefault="009715D4" w:rsidP="009715D4"/>
    <w:p w14:paraId="145D9776" w14:textId="77777777" w:rsidR="00115ED3" w:rsidRPr="00AA1E9F" w:rsidRDefault="00115ED3" w:rsidP="009715D4"/>
    <w:p w14:paraId="354A5A4A" w14:textId="77777777" w:rsidR="00115ED3" w:rsidRPr="00AA1E9F" w:rsidRDefault="00115ED3" w:rsidP="009715D4"/>
    <w:p w14:paraId="61EACACC" w14:textId="77777777" w:rsidR="00115ED3" w:rsidRPr="00AA1E9F" w:rsidRDefault="00115ED3" w:rsidP="00115ED3">
      <w:pPr>
        <w:jc w:val="both"/>
        <w:rPr>
          <w:b/>
          <w:bCs/>
          <w:sz w:val="36"/>
          <w:szCs w:val="36"/>
        </w:rPr>
      </w:pPr>
    </w:p>
    <w:p w14:paraId="62F66CD7" w14:textId="544A5B79" w:rsidR="00191CA0" w:rsidRPr="006D33B9" w:rsidRDefault="009715D4" w:rsidP="00191CA0">
      <w:pPr>
        <w:jc w:val="both"/>
        <w:rPr>
          <w:b/>
          <w:bCs/>
          <w:sz w:val="44"/>
          <w:szCs w:val="44"/>
        </w:rPr>
      </w:pPr>
      <w:r w:rsidRPr="006D33B9">
        <w:rPr>
          <w:b/>
          <w:bCs/>
          <w:sz w:val="44"/>
          <w:szCs w:val="44"/>
        </w:rPr>
        <w:t>Vision Australia Submission:</w:t>
      </w:r>
      <w:r w:rsidR="006B28AC" w:rsidRPr="006D33B9">
        <w:rPr>
          <w:b/>
          <w:bCs/>
          <w:sz w:val="44"/>
          <w:szCs w:val="44"/>
        </w:rPr>
        <w:t xml:space="preserve"> </w:t>
      </w:r>
      <w:r w:rsidR="003371FB" w:rsidRPr="006D33B9">
        <w:rPr>
          <w:b/>
          <w:bCs/>
          <w:sz w:val="44"/>
          <w:szCs w:val="44"/>
        </w:rPr>
        <w:t>Disability Discrimination Act Review</w:t>
      </w:r>
    </w:p>
    <w:p w14:paraId="5D09E0E0" w14:textId="0552A628" w:rsidR="00115ED3" w:rsidRPr="006D33B9" w:rsidRDefault="009715D4" w:rsidP="00115ED3">
      <w:pPr>
        <w:jc w:val="both"/>
        <w:rPr>
          <w:b/>
          <w:bCs/>
          <w:sz w:val="36"/>
          <w:szCs w:val="36"/>
        </w:rPr>
      </w:pPr>
      <w:r w:rsidRPr="00AA1E9F">
        <w:rPr>
          <w:b/>
          <w:bCs/>
          <w:sz w:val="36"/>
          <w:szCs w:val="36"/>
        </w:rPr>
        <w:t xml:space="preserve"> </w:t>
      </w:r>
    </w:p>
    <w:p w14:paraId="0FF02353" w14:textId="6D9C390F" w:rsidR="00743C0A" w:rsidRPr="00AA1E9F" w:rsidRDefault="009715D4" w:rsidP="00115ED3">
      <w:pPr>
        <w:jc w:val="both"/>
      </w:pPr>
      <w:r w:rsidRPr="00AA1E9F">
        <w:t xml:space="preserve">Submission to: </w:t>
      </w:r>
      <w:r w:rsidR="00216563" w:rsidRPr="00AA1E9F">
        <w:t>Commonwealth Attorney-General’s Department</w:t>
      </w:r>
    </w:p>
    <w:p w14:paraId="492673ED" w14:textId="77777777" w:rsidR="009715D4" w:rsidRPr="00AA1E9F" w:rsidRDefault="009715D4" w:rsidP="00115ED3">
      <w:pPr>
        <w:jc w:val="both"/>
      </w:pPr>
    </w:p>
    <w:p w14:paraId="633A1EDE" w14:textId="19CF4315" w:rsidR="009715D4" w:rsidRPr="00AA1E9F" w:rsidRDefault="009715D4" w:rsidP="00115ED3">
      <w:pPr>
        <w:jc w:val="both"/>
      </w:pPr>
      <w:r w:rsidRPr="00AA1E9F">
        <w:t xml:space="preserve">Submitted via: </w:t>
      </w:r>
      <w:r w:rsidR="00803FF4" w:rsidRPr="00AA1E9F">
        <w:t>Online</w:t>
      </w:r>
    </w:p>
    <w:p w14:paraId="47BF0756" w14:textId="77777777" w:rsidR="009715D4" w:rsidRPr="00AA1E9F" w:rsidRDefault="009715D4" w:rsidP="00115ED3">
      <w:pPr>
        <w:jc w:val="both"/>
      </w:pPr>
    </w:p>
    <w:p w14:paraId="06893C2C" w14:textId="61688652" w:rsidR="009715D4" w:rsidRPr="00AA1E9F" w:rsidRDefault="009715D4" w:rsidP="00115ED3">
      <w:pPr>
        <w:jc w:val="both"/>
      </w:pPr>
      <w:r w:rsidRPr="00AA1E9F">
        <w:t xml:space="preserve">Date: </w:t>
      </w:r>
      <w:r w:rsidR="006E3098">
        <w:t xml:space="preserve">22 </w:t>
      </w:r>
      <w:r w:rsidR="005817CB" w:rsidRPr="00AA1E9F">
        <w:t>October</w:t>
      </w:r>
      <w:r w:rsidRPr="00AA1E9F">
        <w:t xml:space="preserve"> 202</w:t>
      </w:r>
      <w:r w:rsidR="00010698" w:rsidRPr="00AA1E9F">
        <w:t>5</w:t>
      </w:r>
    </w:p>
    <w:p w14:paraId="59D613DD" w14:textId="77777777" w:rsidR="009715D4" w:rsidRPr="00AA1E9F" w:rsidRDefault="009715D4" w:rsidP="00115ED3">
      <w:pPr>
        <w:jc w:val="both"/>
      </w:pPr>
    </w:p>
    <w:p w14:paraId="04C4E1C0" w14:textId="70957D2F" w:rsidR="009715D4" w:rsidRPr="00AA1E9F" w:rsidRDefault="009715D4" w:rsidP="00115ED3">
      <w:pPr>
        <w:jc w:val="both"/>
      </w:pPr>
      <w:r w:rsidRPr="00AA1E9F">
        <w:t xml:space="preserve">Submission approved by: Chris Edwards, </w:t>
      </w:r>
      <w:r w:rsidR="00F12CD6" w:rsidRPr="00AA1E9F">
        <w:t>General Manager Corporate Affairs and Advocacy</w:t>
      </w:r>
    </w:p>
    <w:p w14:paraId="10153BC6" w14:textId="2E9D68BB" w:rsidR="009715D4" w:rsidRPr="00AA1E9F" w:rsidRDefault="009715D4" w:rsidP="009715D4">
      <w:r w:rsidRPr="00AA1E9F">
        <w:t xml:space="preserve"> __________________________________________________________________</w:t>
      </w:r>
      <w:r w:rsidR="00115ED3" w:rsidRPr="00AA1E9F">
        <w:t>_</w:t>
      </w:r>
    </w:p>
    <w:p w14:paraId="19A2D72D" w14:textId="21B77D17" w:rsidR="009715D4" w:rsidRPr="00AA1E9F" w:rsidRDefault="009715D4" w:rsidP="009715D4">
      <w:r w:rsidRPr="00AA1E9F">
        <w:t> </w:t>
      </w:r>
    </w:p>
    <w:p w14:paraId="0D070355" w14:textId="77777777" w:rsidR="00115ED3" w:rsidRPr="00AA1E9F" w:rsidRDefault="00115ED3">
      <w:pPr>
        <w:rPr>
          <w:rFonts w:eastAsia="Times New Roman"/>
          <w:b/>
          <w:sz w:val="36"/>
          <w:szCs w:val="36"/>
        </w:rPr>
      </w:pPr>
      <w:r w:rsidRPr="00AA1E9F">
        <w:br w:type="page"/>
      </w:r>
    </w:p>
    <w:p w14:paraId="61C78F1E" w14:textId="1746AA7C" w:rsidR="00EB6DD3" w:rsidRPr="00AA1E9F" w:rsidRDefault="009715D4" w:rsidP="00240A4D">
      <w:pPr>
        <w:pStyle w:val="Heading1"/>
        <w:spacing w:before="0" w:after="0"/>
        <w:contextualSpacing/>
        <w:jc w:val="both"/>
      </w:pPr>
      <w:r w:rsidRPr="00AA1E9F">
        <w:lastRenderedPageBreak/>
        <w:t>Introduction</w:t>
      </w:r>
    </w:p>
    <w:p w14:paraId="5774F3E4" w14:textId="77777777" w:rsidR="009715D4" w:rsidRPr="00AA1E9F" w:rsidRDefault="009715D4" w:rsidP="00240A4D">
      <w:pPr>
        <w:contextualSpacing/>
        <w:jc w:val="both"/>
      </w:pPr>
    </w:p>
    <w:p w14:paraId="4F68FBC9" w14:textId="7F15E4B2" w:rsidR="00694BDE" w:rsidRPr="00AA1E9F" w:rsidRDefault="009715D4" w:rsidP="00240A4D">
      <w:pPr>
        <w:contextualSpacing/>
        <w:jc w:val="both"/>
      </w:pPr>
      <w:r w:rsidRPr="00AA1E9F">
        <w:t xml:space="preserve">Vision Australia is making a submission to </w:t>
      </w:r>
      <w:r w:rsidR="00FB5389">
        <w:t xml:space="preserve">the </w:t>
      </w:r>
      <w:r w:rsidR="007F2F3F" w:rsidRPr="00AA1E9F">
        <w:t>Disability Discrimination Act Review (</w:t>
      </w:r>
      <w:r w:rsidR="007F2F3F" w:rsidRPr="00FB5389">
        <w:rPr>
          <w:b/>
          <w:bCs/>
        </w:rPr>
        <w:t>the Revie</w:t>
      </w:r>
      <w:r w:rsidR="000770E1" w:rsidRPr="00FB5389">
        <w:rPr>
          <w:b/>
          <w:bCs/>
        </w:rPr>
        <w:t>w</w:t>
      </w:r>
      <w:r w:rsidR="00FB5389">
        <w:t>)</w:t>
      </w:r>
      <w:r w:rsidR="007F2F3F" w:rsidRPr="00AA1E9F">
        <w:t xml:space="preserve"> </w:t>
      </w:r>
      <w:r w:rsidR="00105E0E" w:rsidRPr="00AA1E9F">
        <w:t xml:space="preserve">to express our support for the relevant recommendations from the report of the </w:t>
      </w:r>
      <w:r w:rsidR="00760FFE" w:rsidRPr="00AA1E9F">
        <w:t>Royal Commission into Vi</w:t>
      </w:r>
      <w:r w:rsidR="00C9592D" w:rsidRPr="00AA1E9F">
        <w:t>o</w:t>
      </w:r>
      <w:r w:rsidR="00760FFE" w:rsidRPr="00AA1E9F">
        <w:t>lence, Abuse, Neglect and Exploitation of People with</w:t>
      </w:r>
      <w:r w:rsidR="003919B1" w:rsidRPr="00AA1E9F">
        <w:t xml:space="preserve"> Disability (</w:t>
      </w:r>
      <w:r w:rsidR="003919B1" w:rsidRPr="00FB5389">
        <w:rPr>
          <w:b/>
          <w:bCs/>
        </w:rPr>
        <w:t>the D</w:t>
      </w:r>
      <w:r w:rsidR="001D4BDB" w:rsidRPr="00FB5389">
        <w:rPr>
          <w:b/>
          <w:bCs/>
        </w:rPr>
        <w:t>isability Royal Commission, the DRC</w:t>
      </w:r>
      <w:r w:rsidR="001D4BDB" w:rsidRPr="00AA1E9F">
        <w:t xml:space="preserve">). </w:t>
      </w:r>
      <w:r w:rsidR="002150EE" w:rsidRPr="00AA1E9F">
        <w:t>We also take the opportunity to highlight aspects of the Disability Discrimination Act 1992 (</w:t>
      </w:r>
      <w:r w:rsidR="002150EE" w:rsidRPr="00FB5389">
        <w:rPr>
          <w:b/>
          <w:bCs/>
        </w:rPr>
        <w:t>the DDA</w:t>
      </w:r>
      <w:r w:rsidR="002150EE" w:rsidRPr="00AA1E9F">
        <w:t xml:space="preserve">) that are in urgent need </w:t>
      </w:r>
      <w:r w:rsidR="00DA2691" w:rsidRPr="00AA1E9F">
        <w:t xml:space="preserve">of reform if the DDA is to </w:t>
      </w:r>
      <w:r w:rsidR="006E1F99">
        <w:t>remain</w:t>
      </w:r>
      <w:r w:rsidR="00DA2691" w:rsidRPr="00AA1E9F">
        <w:t xml:space="preserve"> relevant and effective into the future.</w:t>
      </w:r>
      <w:r w:rsidR="005C0D86" w:rsidRPr="00AA1E9F">
        <w:t xml:space="preserve"> </w:t>
      </w:r>
      <w:r w:rsidR="00BE4111" w:rsidRPr="00AA1E9F">
        <w:t>Our</w:t>
      </w:r>
      <w:r w:rsidR="005C0D86" w:rsidRPr="00AA1E9F">
        <w:t xml:space="preserve"> submission</w:t>
      </w:r>
      <w:r w:rsidR="00BE65EA" w:rsidRPr="00AA1E9F">
        <w:t xml:space="preserve"> is structured around the </w:t>
      </w:r>
      <w:r w:rsidR="001453FA" w:rsidRPr="00AA1E9F">
        <w:t xml:space="preserve">clusters of </w:t>
      </w:r>
      <w:r w:rsidR="00BE65EA" w:rsidRPr="00AA1E9F">
        <w:t>Consultation Questions</w:t>
      </w:r>
      <w:r w:rsidR="005C0D86" w:rsidRPr="00AA1E9F">
        <w:t xml:space="preserve"> in the Issues Paper that was produced to support the Review</w:t>
      </w:r>
      <w:r w:rsidR="00931D61" w:rsidRPr="00AA1E9F">
        <w:t>.</w:t>
      </w:r>
      <w:r w:rsidR="00C84D48" w:rsidRPr="00AA1E9F">
        <w:t xml:space="preserve"> We have provided responses to </w:t>
      </w:r>
      <w:r w:rsidR="00694BDE" w:rsidRPr="00AA1E9F">
        <w:t>most of the Consultation Questions, but we have omitted some that fall outside the scope of our experience and expertise.</w:t>
      </w:r>
    </w:p>
    <w:p w14:paraId="79396165" w14:textId="77777777" w:rsidR="00694BDE" w:rsidRPr="00AA1E9F" w:rsidRDefault="00694BDE" w:rsidP="00240A4D">
      <w:pPr>
        <w:contextualSpacing/>
        <w:jc w:val="both"/>
      </w:pPr>
    </w:p>
    <w:p w14:paraId="37EC0B4B" w14:textId="47D787B7" w:rsidR="005259D6" w:rsidRPr="00AA1E9F" w:rsidRDefault="00A507E2" w:rsidP="00240A4D">
      <w:pPr>
        <w:contextualSpacing/>
        <w:jc w:val="both"/>
      </w:pPr>
      <w:r w:rsidRPr="00AA1E9F">
        <w:t xml:space="preserve">At the outset, we </w:t>
      </w:r>
      <w:r w:rsidR="00EF5A2B" w:rsidRPr="00AA1E9F">
        <w:t xml:space="preserve">want to </w:t>
      </w:r>
      <w:r w:rsidR="007B534B" w:rsidRPr="00AA1E9F">
        <w:t>stress our longstanding belief that the DDA has been a landm</w:t>
      </w:r>
      <w:r w:rsidR="004A2CD3" w:rsidRPr="00AA1E9F">
        <w:t>ark piece of legislation since it was introduced in 1993. It has played a pivotal role in</w:t>
      </w:r>
      <w:r w:rsidR="00FB4077" w:rsidRPr="00AA1E9F">
        <w:t xml:space="preserve"> promoting greater community awareness of the right of people with disability to live free from discrimination</w:t>
      </w:r>
      <w:r w:rsidR="00956083" w:rsidRPr="00AA1E9F">
        <w:t>, and it has</w:t>
      </w:r>
      <w:r w:rsidR="00372950" w:rsidRPr="00AA1E9F">
        <w:t xml:space="preserve"> continued to demonstrate its effectiveness in addressing indivi</w:t>
      </w:r>
      <w:r w:rsidR="00420F53" w:rsidRPr="00AA1E9F">
        <w:t>d</w:t>
      </w:r>
      <w:r w:rsidR="00372950" w:rsidRPr="00AA1E9F">
        <w:t>ual instances of disability discrimination and</w:t>
      </w:r>
      <w:r w:rsidR="008B164A" w:rsidRPr="00AA1E9F">
        <w:t xml:space="preserve"> instigating system chan</w:t>
      </w:r>
      <w:r w:rsidR="005259D6" w:rsidRPr="00AA1E9F">
        <w:t>ge.</w:t>
      </w:r>
    </w:p>
    <w:p w14:paraId="651BD947" w14:textId="77777777" w:rsidR="005259D6" w:rsidRPr="00AA1E9F" w:rsidRDefault="005259D6" w:rsidP="00240A4D">
      <w:pPr>
        <w:contextualSpacing/>
        <w:jc w:val="both"/>
      </w:pPr>
    </w:p>
    <w:p w14:paraId="56527357" w14:textId="126379A1" w:rsidR="00575F58" w:rsidRPr="00AA1E9F" w:rsidRDefault="005259D6" w:rsidP="00240A4D">
      <w:pPr>
        <w:contextualSpacing/>
        <w:jc w:val="both"/>
      </w:pPr>
      <w:r w:rsidRPr="00AA1E9F">
        <w:t>Neverthe</w:t>
      </w:r>
      <w:r w:rsidR="00E04558" w:rsidRPr="00AA1E9F">
        <w:t>le</w:t>
      </w:r>
      <w:r w:rsidRPr="00AA1E9F">
        <w:t xml:space="preserve">ss, the DDA is </w:t>
      </w:r>
      <w:r w:rsidR="0065524B" w:rsidRPr="00AA1E9F">
        <w:t xml:space="preserve">now </w:t>
      </w:r>
      <w:r w:rsidRPr="00AA1E9F">
        <w:t xml:space="preserve">in urgent need of reform if its effectiveness is to </w:t>
      </w:r>
      <w:r w:rsidR="00F17A32" w:rsidRPr="00AA1E9F">
        <w:t xml:space="preserve">continue. There have been many changes in society over the past 30 years, perhaps the most significant of which is the </w:t>
      </w:r>
      <w:r w:rsidR="00DF1948" w:rsidRPr="00AA1E9F">
        <w:t>digital revolution that is now embedded in almost every aspect of life and society.</w:t>
      </w:r>
      <w:r w:rsidR="002954E9" w:rsidRPr="00AA1E9F">
        <w:t xml:space="preserve"> There have also been a number of court decisions, highlighted in the Issues Paper, that have </w:t>
      </w:r>
      <w:r w:rsidR="00893505" w:rsidRPr="00AA1E9F">
        <w:t>weakened some of the mechan</w:t>
      </w:r>
      <w:r w:rsidR="00434A7F" w:rsidRPr="00AA1E9F">
        <w:t>i</w:t>
      </w:r>
      <w:r w:rsidR="00893505" w:rsidRPr="00AA1E9F">
        <w:t xml:space="preserve">sms in the DDA. Finally, </w:t>
      </w:r>
      <w:r w:rsidR="002A4B4E" w:rsidRPr="00AA1E9F">
        <w:t>some asp</w:t>
      </w:r>
      <w:r w:rsidR="00795541" w:rsidRPr="00AA1E9F">
        <w:t>e</w:t>
      </w:r>
      <w:r w:rsidR="002A4B4E" w:rsidRPr="00AA1E9F">
        <w:t>cts of the DDA have become increasingly problem</w:t>
      </w:r>
      <w:r w:rsidR="001D0EDF" w:rsidRPr="00AA1E9F">
        <w:t>atic, such as the reliance on voluntary conciliation and the</w:t>
      </w:r>
      <w:r w:rsidR="00586942" w:rsidRPr="00AA1E9F">
        <w:t xml:space="preserve"> </w:t>
      </w:r>
      <w:r w:rsidR="000C6BA7" w:rsidRPr="00AA1E9F">
        <w:t>need for individuals to take their compl</w:t>
      </w:r>
      <w:r w:rsidR="008E36B9" w:rsidRPr="00AA1E9F">
        <w:t>a</w:t>
      </w:r>
      <w:r w:rsidR="000C6BA7" w:rsidRPr="00AA1E9F">
        <w:t xml:space="preserve">ints to </w:t>
      </w:r>
      <w:r w:rsidR="00357562" w:rsidRPr="00AA1E9F">
        <w:t xml:space="preserve">Federal court jurisdictions if that voluntary conciliation is not successful. </w:t>
      </w:r>
      <w:r w:rsidR="003E5AF8" w:rsidRPr="00AA1E9F">
        <w:t>Moreover, t</w:t>
      </w:r>
      <w:r w:rsidR="00357562" w:rsidRPr="00AA1E9F">
        <w:t>he compla</w:t>
      </w:r>
      <w:r w:rsidR="00795541" w:rsidRPr="00AA1E9F">
        <w:t>i</w:t>
      </w:r>
      <w:r w:rsidR="00357562" w:rsidRPr="00AA1E9F">
        <w:t>nts process is prol</w:t>
      </w:r>
      <w:r w:rsidR="00E11606" w:rsidRPr="00AA1E9F">
        <w:t xml:space="preserve">onged, uncertain and </w:t>
      </w:r>
      <w:r w:rsidR="00460F0E" w:rsidRPr="00AA1E9F">
        <w:t xml:space="preserve">hampered by the </w:t>
      </w:r>
      <w:r w:rsidR="00D137DF" w:rsidRPr="00AA1E9F">
        <w:t xml:space="preserve">perpetuation of a power imbalance between </w:t>
      </w:r>
      <w:r w:rsidR="00B35427" w:rsidRPr="00AA1E9F">
        <w:t xml:space="preserve">respondents who have </w:t>
      </w:r>
      <w:r w:rsidR="009A73A9" w:rsidRPr="00AA1E9F">
        <w:t xml:space="preserve">the means to </w:t>
      </w:r>
      <w:r w:rsidR="00B35427" w:rsidRPr="00AA1E9F">
        <w:t xml:space="preserve">access </w:t>
      </w:r>
      <w:r w:rsidR="009A73A9" w:rsidRPr="00AA1E9F">
        <w:t xml:space="preserve">legal </w:t>
      </w:r>
      <w:r w:rsidR="00FB40A1" w:rsidRPr="00AA1E9F">
        <w:t>representation and individual compl</w:t>
      </w:r>
      <w:r w:rsidR="00804F31" w:rsidRPr="00AA1E9F">
        <w:t>ai</w:t>
      </w:r>
      <w:r w:rsidR="00FB40A1" w:rsidRPr="00AA1E9F">
        <w:t xml:space="preserve">nts who </w:t>
      </w:r>
      <w:r w:rsidR="00804F31" w:rsidRPr="00AA1E9F">
        <w:t xml:space="preserve">usually </w:t>
      </w:r>
      <w:r w:rsidR="00FB40A1" w:rsidRPr="00AA1E9F">
        <w:t>do not</w:t>
      </w:r>
      <w:r w:rsidR="00460F0E" w:rsidRPr="00AA1E9F">
        <w:t>.</w:t>
      </w:r>
    </w:p>
    <w:p w14:paraId="58E87F24" w14:textId="77777777" w:rsidR="00460F0E" w:rsidRPr="00AA1E9F" w:rsidRDefault="00460F0E" w:rsidP="00240A4D">
      <w:pPr>
        <w:contextualSpacing/>
        <w:jc w:val="both"/>
      </w:pPr>
    </w:p>
    <w:p w14:paraId="5D9DABA9" w14:textId="4C0E865D" w:rsidR="00460F0E" w:rsidRPr="00AA1E9F" w:rsidRDefault="002C4D33" w:rsidP="00240A4D">
      <w:pPr>
        <w:contextualSpacing/>
        <w:jc w:val="both"/>
      </w:pPr>
      <w:r w:rsidRPr="00AA1E9F">
        <w:t xml:space="preserve">Based on our discussions with clients and others who have used the DDA, </w:t>
      </w:r>
      <w:r w:rsidR="009D12A8" w:rsidRPr="00AA1E9F">
        <w:t xml:space="preserve">as well as our own experiences, </w:t>
      </w:r>
      <w:r w:rsidRPr="00AA1E9F">
        <w:t>we</w:t>
      </w:r>
      <w:r w:rsidR="0028333E" w:rsidRPr="00AA1E9F">
        <w:t xml:space="preserve"> have come to the strong view that unless </w:t>
      </w:r>
      <w:r w:rsidR="00363A01" w:rsidRPr="00AA1E9F">
        <w:t>the DDA’s</w:t>
      </w:r>
      <w:r w:rsidR="0028333E" w:rsidRPr="00AA1E9F">
        <w:t xml:space="preserve"> inherent weaknesses and evolving challenges are addressed, it will increasingly be seen by both the disability sector and the community generally as a “too</w:t>
      </w:r>
      <w:r w:rsidR="0010359B" w:rsidRPr="00AA1E9F">
        <w:t xml:space="preserve">thless tiger” </w:t>
      </w:r>
      <w:r w:rsidR="00686005" w:rsidRPr="00AA1E9F">
        <w:t xml:space="preserve">with little </w:t>
      </w:r>
      <w:r w:rsidR="003C06A3" w:rsidRPr="00AA1E9F">
        <w:t>capacity</w:t>
      </w:r>
      <w:r w:rsidR="00686005" w:rsidRPr="00AA1E9F">
        <w:t xml:space="preserve"> to address the many barriers to full incl</w:t>
      </w:r>
      <w:r w:rsidR="00C43669" w:rsidRPr="00AA1E9F">
        <w:t>u</w:t>
      </w:r>
      <w:r w:rsidR="00686005" w:rsidRPr="00AA1E9F">
        <w:t xml:space="preserve">sion that people with disability still </w:t>
      </w:r>
      <w:r w:rsidR="00667EBC" w:rsidRPr="00AA1E9F">
        <w:t>t</w:t>
      </w:r>
      <w:r w:rsidR="005E41E9">
        <w:t>o</w:t>
      </w:r>
      <w:r w:rsidR="00667EBC" w:rsidRPr="00AA1E9F">
        <w:t xml:space="preserve">o often </w:t>
      </w:r>
      <w:r w:rsidR="00686005" w:rsidRPr="00AA1E9F">
        <w:t>face.</w:t>
      </w:r>
    </w:p>
    <w:p w14:paraId="45778407" w14:textId="77777777" w:rsidR="000447FE" w:rsidRPr="00AA1E9F" w:rsidRDefault="000447FE" w:rsidP="00240A4D">
      <w:pPr>
        <w:contextualSpacing/>
        <w:jc w:val="both"/>
      </w:pPr>
    </w:p>
    <w:p w14:paraId="434EAAFF" w14:textId="4628C736" w:rsidR="000447FE" w:rsidRPr="00AA1E9F" w:rsidRDefault="000447FE" w:rsidP="00240A4D">
      <w:pPr>
        <w:contextualSpacing/>
        <w:jc w:val="both"/>
      </w:pPr>
      <w:r w:rsidRPr="00AA1E9F">
        <w:t xml:space="preserve">The 15 Recommendations in the DRC’s Final Report that relate to the DDA </w:t>
      </w:r>
      <w:r w:rsidR="009F22A9" w:rsidRPr="00AA1E9F">
        <w:t xml:space="preserve">are therefore timely, and their </w:t>
      </w:r>
      <w:r w:rsidR="00FB7836" w:rsidRPr="00AA1E9F">
        <w:t xml:space="preserve">full </w:t>
      </w:r>
      <w:r w:rsidR="009F22A9" w:rsidRPr="00AA1E9F">
        <w:t xml:space="preserve">implementation is critical to </w:t>
      </w:r>
      <w:r w:rsidR="00EA6E3D" w:rsidRPr="00AA1E9F">
        <w:t>its long-term viability and relevance.</w:t>
      </w:r>
      <w:r w:rsidR="00FB7836" w:rsidRPr="00AA1E9F">
        <w:t xml:space="preserve"> They are not, however, sufficient to</w:t>
      </w:r>
      <w:r w:rsidR="00E62F57" w:rsidRPr="00AA1E9F">
        <w:t xml:space="preserve"> optimise the DDA</w:t>
      </w:r>
      <w:r w:rsidR="00CA54D8" w:rsidRPr="00AA1E9F">
        <w:t xml:space="preserve"> for contemporary soci</w:t>
      </w:r>
      <w:r w:rsidR="00604D4F" w:rsidRPr="00AA1E9F">
        <w:t>e</w:t>
      </w:r>
      <w:r w:rsidR="00CA54D8" w:rsidRPr="00AA1E9F">
        <w:t xml:space="preserve">ty and future </w:t>
      </w:r>
      <w:r w:rsidR="00604D4F" w:rsidRPr="00AA1E9F">
        <w:t>trends. As we discuss, the DDA must be updated to cla</w:t>
      </w:r>
      <w:r w:rsidR="00F83E65" w:rsidRPr="00AA1E9F">
        <w:t xml:space="preserve">rify its application to digital spaces and technologies, the complaints process must be </w:t>
      </w:r>
      <w:r w:rsidR="00AA613A" w:rsidRPr="00AA1E9F">
        <w:t>made more robust, and the Australi</w:t>
      </w:r>
      <w:r w:rsidR="00E35BB8" w:rsidRPr="00AA1E9F">
        <w:t>a</w:t>
      </w:r>
      <w:r w:rsidR="00AA613A" w:rsidRPr="00AA1E9F">
        <w:t>n Human Rights</w:t>
      </w:r>
      <w:r w:rsidR="00E35BB8" w:rsidRPr="00AA1E9F">
        <w:t xml:space="preserve"> </w:t>
      </w:r>
      <w:r w:rsidR="00A421E5" w:rsidRPr="00AA1E9F">
        <w:t>Commission (</w:t>
      </w:r>
      <w:r w:rsidR="00A421E5" w:rsidRPr="00FB5389">
        <w:rPr>
          <w:b/>
          <w:bCs/>
        </w:rPr>
        <w:t xml:space="preserve">the </w:t>
      </w:r>
      <w:r w:rsidR="00A421E5" w:rsidRPr="00FB5389">
        <w:rPr>
          <w:b/>
          <w:bCs/>
        </w:rPr>
        <w:br/>
        <w:t>AHRC</w:t>
      </w:r>
      <w:r w:rsidR="00A421E5" w:rsidRPr="00AA1E9F">
        <w:t>) mu</w:t>
      </w:r>
      <w:r w:rsidR="00B6512D" w:rsidRPr="00AA1E9F">
        <w:t>st be adequately resourced so that it can meet its responsibiliti</w:t>
      </w:r>
      <w:r w:rsidR="00650F62" w:rsidRPr="00AA1E9F">
        <w:t>es and perform its functions.</w:t>
      </w:r>
    </w:p>
    <w:p w14:paraId="28699539" w14:textId="77777777" w:rsidR="00240A4D" w:rsidRDefault="00240A4D" w:rsidP="00240A4D">
      <w:pPr>
        <w:pStyle w:val="Heading1"/>
        <w:spacing w:before="0" w:after="0"/>
        <w:contextualSpacing/>
        <w:jc w:val="both"/>
      </w:pPr>
    </w:p>
    <w:p w14:paraId="6AD9C939" w14:textId="312D0D72" w:rsidR="00FB7A32" w:rsidRDefault="00FB7A32" w:rsidP="00240A4D">
      <w:pPr>
        <w:pStyle w:val="Heading1"/>
        <w:spacing w:before="0" w:after="0"/>
        <w:contextualSpacing/>
        <w:jc w:val="both"/>
      </w:pPr>
      <w:r w:rsidRPr="00AA1E9F">
        <w:t>Responses to Consultation Questions</w:t>
      </w:r>
    </w:p>
    <w:p w14:paraId="2AD7BAFC" w14:textId="77777777" w:rsidR="00240A4D" w:rsidRPr="00240A4D" w:rsidRDefault="00240A4D" w:rsidP="00240A4D"/>
    <w:p w14:paraId="2123CC8A" w14:textId="0A919E17" w:rsidR="0076656B" w:rsidRPr="0076656B" w:rsidRDefault="0076656B" w:rsidP="0076656B">
      <w:pPr>
        <w:pStyle w:val="Heading2"/>
        <w:spacing w:before="0" w:after="0"/>
        <w:contextualSpacing/>
        <w:jc w:val="both"/>
        <w:rPr>
          <w:sz w:val="32"/>
          <w:szCs w:val="32"/>
          <w:lang w:val="en-AU"/>
        </w:rPr>
      </w:pPr>
      <w:r>
        <w:rPr>
          <w:sz w:val="32"/>
          <w:szCs w:val="32"/>
          <w:lang w:val="en-AU"/>
        </w:rPr>
        <w:t>Question 1: Ho</w:t>
      </w:r>
      <w:r w:rsidR="007F4508" w:rsidRPr="006D33B9">
        <w:rPr>
          <w:sz w:val="32"/>
          <w:szCs w:val="32"/>
          <w:lang w:val="en-AU"/>
        </w:rPr>
        <w:t>w should disability be defined in the Disability Discrimination Act?</w:t>
      </w:r>
    </w:p>
    <w:p w14:paraId="6BD564C4" w14:textId="77777777" w:rsidR="00343BC0" w:rsidRPr="00343BC0" w:rsidRDefault="00343BC0" w:rsidP="00343BC0"/>
    <w:p w14:paraId="108541F3" w14:textId="0D61A902" w:rsidR="00343BC0" w:rsidRPr="00343BC0" w:rsidRDefault="0076656B" w:rsidP="0076656B">
      <w:pPr>
        <w:pStyle w:val="Heading2"/>
        <w:spacing w:before="0" w:after="0"/>
        <w:contextualSpacing/>
        <w:jc w:val="both"/>
        <w:rPr>
          <w:sz w:val="32"/>
          <w:szCs w:val="32"/>
          <w:lang w:val="en-AU"/>
        </w:rPr>
      </w:pPr>
      <w:r>
        <w:rPr>
          <w:sz w:val="32"/>
          <w:szCs w:val="32"/>
          <w:lang w:val="en-AU"/>
        </w:rPr>
        <w:t xml:space="preserve">Question 2: </w:t>
      </w:r>
      <w:r w:rsidR="007F4508" w:rsidRPr="00343BC0">
        <w:rPr>
          <w:sz w:val="32"/>
          <w:szCs w:val="32"/>
          <w:lang w:val="en-AU"/>
        </w:rPr>
        <w:t>What factors should be considered in developing a new definition of disability?</w:t>
      </w:r>
    </w:p>
    <w:p w14:paraId="686D130C" w14:textId="77777777" w:rsidR="006D33B9" w:rsidRPr="006D33B9" w:rsidRDefault="006D33B9" w:rsidP="00240A4D">
      <w:pPr>
        <w:contextualSpacing/>
        <w:jc w:val="both"/>
      </w:pPr>
    </w:p>
    <w:p w14:paraId="3A0563AA" w14:textId="2BD1FBF6" w:rsidR="0004436B" w:rsidRPr="00AA1E9F" w:rsidRDefault="005C7FF5" w:rsidP="00240A4D">
      <w:pPr>
        <w:contextualSpacing/>
        <w:jc w:val="both"/>
      </w:pPr>
      <w:r w:rsidRPr="00AA1E9F">
        <w:t>The definition of disability in the DDA has</w:t>
      </w:r>
      <w:r w:rsidR="00AA15B9" w:rsidRPr="00AA1E9F">
        <w:t>, for the most part, worked extremely well over the past 30 years. It has allowed people with a wide varie</w:t>
      </w:r>
      <w:r w:rsidR="004068B3" w:rsidRPr="00AA1E9F">
        <w:t xml:space="preserve">ty of disabilities to </w:t>
      </w:r>
      <w:r w:rsidR="00F57213" w:rsidRPr="00AA1E9F">
        <w:t>lodge complaints and have those compl</w:t>
      </w:r>
      <w:r w:rsidR="00BA3826" w:rsidRPr="00AA1E9F">
        <w:t>a</w:t>
      </w:r>
      <w:r w:rsidR="00F57213" w:rsidRPr="00AA1E9F">
        <w:t>in</w:t>
      </w:r>
      <w:r w:rsidR="00BA3826" w:rsidRPr="00AA1E9F">
        <w:t>t</w:t>
      </w:r>
      <w:r w:rsidR="00F57213" w:rsidRPr="00AA1E9F">
        <w:t>s dealt with under the legislation</w:t>
      </w:r>
      <w:r w:rsidR="003870B4" w:rsidRPr="00AA1E9F">
        <w:t xml:space="preserve">. The DDA’s definition of disability has also been reflected in other Commonwealth and </w:t>
      </w:r>
      <w:r w:rsidR="00FB5389">
        <w:t>S</w:t>
      </w:r>
      <w:r w:rsidR="005D1DB6" w:rsidRPr="00AA1E9F">
        <w:t>tate/</w:t>
      </w:r>
      <w:r w:rsidR="00FB5389">
        <w:t>T</w:t>
      </w:r>
      <w:r w:rsidR="005D1DB6" w:rsidRPr="00AA1E9F">
        <w:t>erritory legislation, regulation and policy</w:t>
      </w:r>
      <w:r w:rsidR="004F73D6" w:rsidRPr="00AA1E9F">
        <w:t xml:space="preserve">. </w:t>
      </w:r>
      <w:r w:rsidR="00B96470" w:rsidRPr="00AA1E9F">
        <w:t xml:space="preserve">It has been effective in allowing disability to be considered a protected attribute along with other protected attributes in </w:t>
      </w:r>
      <w:r w:rsidR="007A36E1" w:rsidRPr="00AA1E9F">
        <w:t>anti-discrimination legislative framewor</w:t>
      </w:r>
      <w:r w:rsidR="0004436B" w:rsidRPr="00AA1E9F">
        <w:t>ks,</w:t>
      </w:r>
      <w:r w:rsidR="001B6A8C" w:rsidRPr="00AA1E9F">
        <w:t xml:space="preserve"> </w:t>
      </w:r>
      <w:r w:rsidR="0004436B" w:rsidRPr="00AA1E9F">
        <w:t xml:space="preserve">and it has allowed useful comparison between discrimination on </w:t>
      </w:r>
      <w:r w:rsidR="001B6A8C" w:rsidRPr="00AA1E9F">
        <w:t>t</w:t>
      </w:r>
      <w:r w:rsidR="0004436B" w:rsidRPr="00AA1E9F">
        <w:t>he basis of disability and discrimination on the basis of other attributes.</w:t>
      </w:r>
    </w:p>
    <w:p w14:paraId="0C0A3466" w14:textId="77777777" w:rsidR="0004436B" w:rsidRPr="00AA1E9F" w:rsidRDefault="0004436B" w:rsidP="00240A4D">
      <w:pPr>
        <w:contextualSpacing/>
        <w:jc w:val="both"/>
      </w:pPr>
    </w:p>
    <w:p w14:paraId="0882A1E8" w14:textId="28B1AE64" w:rsidR="00650F62" w:rsidRPr="00AA1E9F" w:rsidRDefault="00F46BFC" w:rsidP="00240A4D">
      <w:pPr>
        <w:contextualSpacing/>
        <w:jc w:val="both"/>
      </w:pPr>
      <w:r w:rsidRPr="00AA1E9F">
        <w:t xml:space="preserve">We therefore support </w:t>
      </w:r>
      <w:r w:rsidR="005D2279" w:rsidRPr="00AA1E9F">
        <w:t xml:space="preserve">a cautious approach to changing the current definition of disability. Conversely, we do not support </w:t>
      </w:r>
      <w:r w:rsidR="001C18EE" w:rsidRPr="00AA1E9F">
        <w:t xml:space="preserve">replacing it with a definition that </w:t>
      </w:r>
      <w:r w:rsidR="00F4293E" w:rsidRPr="00AA1E9F">
        <w:t xml:space="preserve">is based on </w:t>
      </w:r>
      <w:r w:rsidR="00ED74CC" w:rsidRPr="00AA1E9F">
        <w:t xml:space="preserve">a thoroughgoing interpretation </w:t>
      </w:r>
      <w:r w:rsidR="00EC63E5" w:rsidRPr="00AA1E9F">
        <w:t xml:space="preserve">of </w:t>
      </w:r>
      <w:r w:rsidR="00F4293E" w:rsidRPr="00AA1E9F">
        <w:t xml:space="preserve">the social model of disability, wherein disability </w:t>
      </w:r>
      <w:r w:rsidR="00006629">
        <w:t xml:space="preserve">and discrimination are </w:t>
      </w:r>
      <w:r w:rsidR="00F4293E" w:rsidRPr="00AA1E9F">
        <w:t xml:space="preserve">viewed as </w:t>
      </w:r>
      <w:r w:rsidR="00D435E5">
        <w:t>synonymous rather than different</w:t>
      </w:r>
      <w:r w:rsidR="00944FA9">
        <w:t xml:space="preserve"> concepts</w:t>
      </w:r>
      <w:r w:rsidR="00931DBC">
        <w:t>.</w:t>
      </w:r>
      <w:r w:rsidR="00C9360A" w:rsidRPr="00AA1E9F">
        <w:t xml:space="preserve"> </w:t>
      </w:r>
      <w:r w:rsidR="00BC1E20" w:rsidRPr="00AA1E9F">
        <w:t xml:space="preserve">We certainly do not want to </w:t>
      </w:r>
      <w:r w:rsidR="008779D8" w:rsidRPr="00AA1E9F">
        <w:t xml:space="preserve">inadvertently </w:t>
      </w:r>
      <w:r w:rsidR="00DD5B58" w:rsidRPr="00AA1E9F">
        <w:t>create</w:t>
      </w:r>
      <w:r w:rsidR="005E41E9">
        <w:t xml:space="preserve"> </w:t>
      </w:r>
      <w:r w:rsidR="00BC1E20" w:rsidRPr="00AA1E9F">
        <w:t xml:space="preserve">a </w:t>
      </w:r>
      <w:r w:rsidR="00B66851" w:rsidRPr="00AA1E9F">
        <w:t xml:space="preserve">situation where a person can </w:t>
      </w:r>
      <w:r w:rsidR="00961278" w:rsidRPr="00AA1E9F">
        <w:t>be found not to have a disability after adjustments have been made, and so lose the protections afforded by the DDA.</w:t>
      </w:r>
      <w:r w:rsidR="00F169A4" w:rsidRPr="00AA1E9F">
        <w:t xml:space="preserve"> Similarly, </w:t>
      </w:r>
      <w:r w:rsidR="008C3AA4" w:rsidRPr="00AA1E9F">
        <w:t>it is essential that the current alignment between disability and other protected attributes be maintained</w:t>
      </w:r>
      <w:r w:rsidR="002A2419" w:rsidRPr="00AA1E9F">
        <w:t>, and that the DDA</w:t>
      </w:r>
      <w:r w:rsidR="00B125E3" w:rsidRPr="00AA1E9F">
        <w:t xml:space="preserve"> as a whole continues to be embedded in a framework of anti-discrim</w:t>
      </w:r>
      <w:r w:rsidR="00034F35" w:rsidRPr="00AA1E9F">
        <w:t>ination law.</w:t>
      </w:r>
      <w:r w:rsidR="009567BB" w:rsidRPr="00AA1E9F">
        <w:t xml:space="preserve"> We do </w:t>
      </w:r>
      <w:r w:rsidR="00947513" w:rsidRPr="00AA1E9F">
        <w:t>regard the social model as essential to</w:t>
      </w:r>
      <w:r w:rsidR="00091DCD" w:rsidRPr="00AA1E9F">
        <w:t xml:space="preserve"> </w:t>
      </w:r>
      <w:r w:rsidR="00626EE3" w:rsidRPr="00AA1E9F">
        <w:t xml:space="preserve">an informed and nuanced understanding of the </w:t>
      </w:r>
      <w:r w:rsidR="00FB5389" w:rsidRPr="00AA1E9F">
        <w:t>socially constructed</w:t>
      </w:r>
      <w:r w:rsidR="00626EE3" w:rsidRPr="00AA1E9F">
        <w:t xml:space="preserve"> nature of disability</w:t>
      </w:r>
      <w:r w:rsidR="00AF4ABF" w:rsidRPr="00AA1E9F">
        <w:t xml:space="preserve">, but </w:t>
      </w:r>
      <w:r w:rsidR="00D229BF" w:rsidRPr="00AA1E9F">
        <w:t xml:space="preserve">we believe that </w:t>
      </w:r>
      <w:r w:rsidR="00AB49B0" w:rsidRPr="00AA1E9F">
        <w:t>the application of its foundational concepts</w:t>
      </w:r>
      <w:r w:rsidR="00B37048" w:rsidRPr="00AA1E9F">
        <w:t xml:space="preserve"> </w:t>
      </w:r>
      <w:r w:rsidR="00D229BF" w:rsidRPr="00AA1E9F">
        <w:t>to anti-discrimination law</w:t>
      </w:r>
      <w:r w:rsidR="00FB307E" w:rsidRPr="00AA1E9F">
        <w:t xml:space="preserve"> </w:t>
      </w:r>
      <w:r w:rsidR="00E125D1" w:rsidRPr="00AA1E9F">
        <w:t>risks diminishing the value of both.</w:t>
      </w:r>
    </w:p>
    <w:p w14:paraId="38A431B8" w14:textId="77777777" w:rsidR="00034F35" w:rsidRPr="00AA1E9F" w:rsidRDefault="00034F35" w:rsidP="00240A4D">
      <w:pPr>
        <w:contextualSpacing/>
        <w:jc w:val="both"/>
      </w:pPr>
    </w:p>
    <w:p w14:paraId="4B23728E" w14:textId="11A04673" w:rsidR="00853307" w:rsidRPr="00AA1E9F" w:rsidRDefault="001D544D" w:rsidP="00240A4D">
      <w:pPr>
        <w:contextualSpacing/>
        <w:jc w:val="both"/>
      </w:pPr>
      <w:r w:rsidRPr="00AA1E9F">
        <w:t>There is no doubt, however, that aspects of the current definition</w:t>
      </w:r>
      <w:r w:rsidR="00265343" w:rsidRPr="00AA1E9F">
        <w:t xml:space="preserve"> are not consistent with contemporary understandings of disability. Words like “disfigurement”</w:t>
      </w:r>
      <w:r w:rsidR="00D05AB5" w:rsidRPr="00AA1E9F">
        <w:t xml:space="preserve"> and “malformation”, </w:t>
      </w:r>
      <w:r w:rsidR="00820FED" w:rsidRPr="00AA1E9F">
        <w:t>reflect outdat</w:t>
      </w:r>
      <w:r w:rsidR="008D6AA2" w:rsidRPr="00AA1E9F">
        <w:t>ed</w:t>
      </w:r>
      <w:r w:rsidR="002B61F0" w:rsidRPr="00AA1E9F">
        <w:t>, quasi-med</w:t>
      </w:r>
      <w:r w:rsidR="000A6651" w:rsidRPr="00AA1E9F">
        <w:t xml:space="preserve">ieval concepts of disability, </w:t>
      </w:r>
      <w:r w:rsidR="006565E6" w:rsidRPr="00AA1E9F">
        <w:t xml:space="preserve">and there is </w:t>
      </w:r>
      <w:r w:rsidR="00E222A1" w:rsidRPr="00AA1E9F">
        <w:t xml:space="preserve">also </w:t>
      </w:r>
      <w:r w:rsidR="006565E6" w:rsidRPr="00AA1E9F">
        <w:t xml:space="preserve">little in the DDA’s definition that </w:t>
      </w:r>
      <w:r w:rsidR="00030CE4" w:rsidRPr="00AA1E9F">
        <w:t>reflects</w:t>
      </w:r>
      <w:r w:rsidR="006565E6" w:rsidRPr="00AA1E9F">
        <w:t xml:space="preserve"> </w:t>
      </w:r>
      <w:r w:rsidR="00E222A1" w:rsidRPr="00AA1E9F">
        <w:t xml:space="preserve">the </w:t>
      </w:r>
      <w:r w:rsidR="005C4B62" w:rsidRPr="00AA1E9F">
        <w:t>c</w:t>
      </w:r>
      <w:r w:rsidR="00030CE4" w:rsidRPr="00AA1E9F">
        <w:t xml:space="preserve">urrent </w:t>
      </w:r>
      <w:r w:rsidR="005C4B62" w:rsidRPr="00AA1E9F">
        <w:t>understanding of</w:t>
      </w:r>
      <w:r w:rsidR="00030CE4" w:rsidRPr="00AA1E9F">
        <w:t xml:space="preserve"> neurodivergence</w:t>
      </w:r>
      <w:r w:rsidR="00391CE9" w:rsidRPr="00AA1E9F">
        <w:t xml:space="preserve"> </w:t>
      </w:r>
      <w:r w:rsidR="00E222A1" w:rsidRPr="00AA1E9F">
        <w:t xml:space="preserve">that has developed </w:t>
      </w:r>
      <w:r w:rsidR="000E56A3" w:rsidRPr="00AA1E9F">
        <w:t>since the term was first used in 1998</w:t>
      </w:r>
      <w:r w:rsidR="008616AD" w:rsidRPr="00AA1E9F">
        <w:rPr>
          <w:rStyle w:val="FootnoteReference"/>
        </w:rPr>
        <w:footnoteReference w:id="1"/>
      </w:r>
      <w:r w:rsidR="000E56A3" w:rsidRPr="00AA1E9F">
        <w:t xml:space="preserve">. </w:t>
      </w:r>
      <w:r w:rsidR="006D3593" w:rsidRPr="00AA1E9F">
        <w:t xml:space="preserve">The DDA’s definition is also </w:t>
      </w:r>
      <w:r w:rsidR="00101668" w:rsidRPr="00AA1E9F">
        <w:t xml:space="preserve">not </w:t>
      </w:r>
      <w:r w:rsidR="00D06492" w:rsidRPr="00AA1E9F">
        <w:t xml:space="preserve">well-equipped to encompass </w:t>
      </w:r>
      <w:r w:rsidR="00391CE9" w:rsidRPr="00AA1E9F">
        <w:t>psychosocial disability.</w:t>
      </w:r>
    </w:p>
    <w:p w14:paraId="25B778BA" w14:textId="77777777" w:rsidR="008E0736" w:rsidRPr="00AA1E9F" w:rsidRDefault="008E0736" w:rsidP="00240A4D">
      <w:pPr>
        <w:contextualSpacing/>
        <w:jc w:val="both"/>
      </w:pPr>
    </w:p>
    <w:p w14:paraId="1976A3B0" w14:textId="0D3DD99A" w:rsidR="008E0736" w:rsidRPr="00AA1E9F" w:rsidRDefault="00D93B49" w:rsidP="00240A4D">
      <w:pPr>
        <w:contextualSpacing/>
        <w:jc w:val="both"/>
      </w:pPr>
      <w:r w:rsidRPr="00AA1E9F">
        <w:t xml:space="preserve">To assist with updating </w:t>
      </w:r>
      <w:r w:rsidR="00B54998" w:rsidRPr="00AA1E9F">
        <w:t xml:space="preserve">the DDA’s definition of disability we </w:t>
      </w:r>
      <w:r w:rsidR="00F7674B" w:rsidRPr="00AA1E9F">
        <w:t xml:space="preserve">recommend a </w:t>
      </w:r>
      <w:r w:rsidR="00B54998" w:rsidRPr="00AA1E9F">
        <w:t>thoughtful</w:t>
      </w:r>
      <w:r w:rsidR="00F7674B" w:rsidRPr="00AA1E9F">
        <w:t xml:space="preserve"> reading of the UN Convention on the Rights of Persons with Disabilities, since it </w:t>
      </w:r>
      <w:r w:rsidR="005E3CB5" w:rsidRPr="00AA1E9F">
        <w:t xml:space="preserve">uses </w:t>
      </w:r>
      <w:r w:rsidR="00FF63DA" w:rsidRPr="00AA1E9F">
        <w:t xml:space="preserve">somewhat </w:t>
      </w:r>
      <w:r w:rsidR="005E3CB5" w:rsidRPr="00AA1E9F">
        <w:t xml:space="preserve">more contemporary language </w:t>
      </w:r>
      <w:r w:rsidR="00FF63DA" w:rsidRPr="00AA1E9F">
        <w:t xml:space="preserve">and concepts </w:t>
      </w:r>
      <w:r w:rsidR="005E3CB5" w:rsidRPr="00AA1E9F">
        <w:t>tha</w:t>
      </w:r>
      <w:r w:rsidR="008A3601" w:rsidRPr="00AA1E9F">
        <w:t>n the DDA but, at the same time, does not</w:t>
      </w:r>
      <w:r w:rsidR="00643F43" w:rsidRPr="00AA1E9F">
        <w:t xml:space="preserve"> embrace the social model at the expense of legal precision.</w:t>
      </w:r>
    </w:p>
    <w:p w14:paraId="18A8C59C" w14:textId="77777777" w:rsidR="00856EEC" w:rsidRPr="00AA1E9F" w:rsidRDefault="00856EEC" w:rsidP="00240A4D">
      <w:pPr>
        <w:contextualSpacing/>
        <w:jc w:val="both"/>
      </w:pPr>
    </w:p>
    <w:p w14:paraId="13E9FA57" w14:textId="7FEAF2CB" w:rsidR="006D33B9" w:rsidRDefault="00FE3E44" w:rsidP="00FE3E44">
      <w:pPr>
        <w:pStyle w:val="Heading2"/>
        <w:spacing w:before="0" w:after="0"/>
        <w:contextualSpacing/>
        <w:jc w:val="both"/>
        <w:rPr>
          <w:sz w:val="32"/>
          <w:szCs w:val="32"/>
          <w:lang w:val="en-AU"/>
        </w:rPr>
      </w:pPr>
      <w:r>
        <w:rPr>
          <w:sz w:val="32"/>
          <w:szCs w:val="32"/>
          <w:lang w:val="en-AU"/>
        </w:rPr>
        <w:lastRenderedPageBreak/>
        <w:t xml:space="preserve">Question 3: </w:t>
      </w:r>
      <w:r w:rsidR="00B01E89" w:rsidRPr="006D33B9">
        <w:rPr>
          <w:sz w:val="32"/>
          <w:szCs w:val="32"/>
          <w:lang w:val="en-AU"/>
        </w:rPr>
        <w:t xml:space="preserve">Would the Disability Discrimination Act be strengthened by expressly allowing claims to be brought for multiple or combined protected attributes? </w:t>
      </w:r>
    </w:p>
    <w:p w14:paraId="4E5602FC" w14:textId="77777777" w:rsidR="00240A4D" w:rsidRPr="00240A4D" w:rsidRDefault="00240A4D" w:rsidP="00240A4D"/>
    <w:p w14:paraId="40F1748D" w14:textId="76B94A08" w:rsidR="00853307" w:rsidRDefault="00FE3E44" w:rsidP="00FE3E44">
      <w:pPr>
        <w:pStyle w:val="Heading2"/>
        <w:spacing w:before="0" w:after="0"/>
        <w:contextualSpacing/>
        <w:jc w:val="both"/>
        <w:rPr>
          <w:sz w:val="32"/>
          <w:szCs w:val="32"/>
          <w:lang w:val="en-AU"/>
        </w:rPr>
      </w:pPr>
      <w:r>
        <w:rPr>
          <w:sz w:val="32"/>
          <w:szCs w:val="32"/>
          <w:lang w:val="en-AU"/>
        </w:rPr>
        <w:t xml:space="preserve">Question 4: </w:t>
      </w:r>
      <w:r w:rsidR="00B01E89" w:rsidRPr="006D33B9">
        <w:rPr>
          <w:sz w:val="32"/>
          <w:szCs w:val="32"/>
          <w:lang w:val="en-AU"/>
        </w:rPr>
        <w:t>Could any other changes be made to the Disability Discrimination Act to recognise and provide protection for people with disability who have intersecting identities, or addressing compounding discrimination?</w:t>
      </w:r>
    </w:p>
    <w:p w14:paraId="4E6A2A2A" w14:textId="77777777" w:rsidR="006D33B9" w:rsidRPr="006D33B9" w:rsidRDefault="006D33B9" w:rsidP="00240A4D">
      <w:pPr>
        <w:contextualSpacing/>
        <w:jc w:val="both"/>
      </w:pPr>
    </w:p>
    <w:p w14:paraId="1BB530D9" w14:textId="3D5E3A54" w:rsidR="00CD58D9" w:rsidRDefault="003817E6" w:rsidP="00240A4D">
      <w:pPr>
        <w:contextualSpacing/>
        <w:jc w:val="both"/>
      </w:pPr>
      <w:r w:rsidRPr="00AA1E9F">
        <w:t xml:space="preserve">We support </w:t>
      </w:r>
      <w:r w:rsidR="00513BD8" w:rsidRPr="00AA1E9F">
        <w:t xml:space="preserve">strengthening the DDA by expressly allowing </w:t>
      </w:r>
      <w:r w:rsidR="00CB3114" w:rsidRPr="00AA1E9F">
        <w:t>complaints on the basis of mult</w:t>
      </w:r>
      <w:r w:rsidR="006B43C4" w:rsidRPr="00AA1E9F">
        <w:t>i</w:t>
      </w:r>
      <w:r w:rsidR="00CB3114" w:rsidRPr="00AA1E9F">
        <w:t>ple protected attributes</w:t>
      </w:r>
      <w:r w:rsidR="004F136F" w:rsidRPr="00AA1E9F">
        <w:t xml:space="preserve">. </w:t>
      </w:r>
      <w:r w:rsidR="009140D9" w:rsidRPr="00AA1E9F">
        <w:t xml:space="preserve">It is not unusual for a </w:t>
      </w:r>
      <w:r w:rsidR="00A55B48" w:rsidRPr="00AA1E9F">
        <w:t>person with disability to experience multiple forms of discrimination. For example, a First Nations woman</w:t>
      </w:r>
      <w:r w:rsidR="00753377" w:rsidRPr="00AA1E9F">
        <w:t xml:space="preserve"> who is blind may experience race, sex and disability discrimination in employment</w:t>
      </w:r>
      <w:r w:rsidR="00B17D81" w:rsidRPr="00AA1E9F">
        <w:t>. In practice it is often impossible to disenta</w:t>
      </w:r>
      <w:r w:rsidR="00622FB5" w:rsidRPr="00AA1E9F">
        <w:t xml:space="preserve">ngle the </w:t>
      </w:r>
      <w:r w:rsidR="001E6AC8" w:rsidRPr="00AA1E9F">
        <w:t>v</w:t>
      </w:r>
      <w:r w:rsidR="00D1410D" w:rsidRPr="00AA1E9F">
        <w:t>arious effects</w:t>
      </w:r>
      <w:r w:rsidR="00914D1D" w:rsidRPr="00AA1E9F">
        <w:t xml:space="preserve"> in order to construct </w:t>
      </w:r>
      <w:r w:rsidR="003A12A9" w:rsidRPr="00AA1E9F">
        <w:t>one or more comparators</w:t>
      </w:r>
      <w:r w:rsidR="00D1410D" w:rsidRPr="00AA1E9F">
        <w:t>. In any case, discrimination is experienced as a totality rather than as a sum of discrete compon</w:t>
      </w:r>
      <w:r w:rsidR="006F2796" w:rsidRPr="00AA1E9F">
        <w:t xml:space="preserve">ents, </w:t>
      </w:r>
      <w:r w:rsidR="009A0D7B" w:rsidRPr="00AA1E9F">
        <w:t xml:space="preserve">and </w:t>
      </w:r>
      <w:r w:rsidR="00203B47" w:rsidRPr="00AA1E9F">
        <w:t xml:space="preserve">attempting to identify which piece of anti-discrimination to use </w:t>
      </w:r>
      <w:r w:rsidR="008F6EF9" w:rsidRPr="00AA1E9F">
        <w:t xml:space="preserve">inevitably </w:t>
      </w:r>
      <w:r w:rsidR="00F37192" w:rsidRPr="00AA1E9F">
        <w:t xml:space="preserve">results in artificial and incomplete </w:t>
      </w:r>
      <w:r w:rsidR="008F6EF9" w:rsidRPr="00AA1E9F">
        <w:t>outcome</w:t>
      </w:r>
      <w:r w:rsidR="00DE1713">
        <w:t>s</w:t>
      </w:r>
      <w:r w:rsidR="008F6EF9" w:rsidRPr="00AA1E9F">
        <w:t>.</w:t>
      </w:r>
    </w:p>
    <w:p w14:paraId="7F9A5973" w14:textId="77777777" w:rsidR="00240A4D" w:rsidRPr="00AA1E9F" w:rsidRDefault="00240A4D" w:rsidP="00240A4D">
      <w:pPr>
        <w:contextualSpacing/>
        <w:jc w:val="both"/>
      </w:pPr>
    </w:p>
    <w:p w14:paraId="79B04464" w14:textId="48C30C21" w:rsidR="006D33B9" w:rsidRDefault="00FE3E44" w:rsidP="00FE3E44">
      <w:pPr>
        <w:pStyle w:val="Heading2"/>
        <w:spacing w:before="0" w:after="0"/>
        <w:contextualSpacing/>
        <w:jc w:val="both"/>
        <w:rPr>
          <w:sz w:val="32"/>
          <w:szCs w:val="32"/>
          <w:lang w:val="en-AU"/>
        </w:rPr>
      </w:pPr>
      <w:r>
        <w:rPr>
          <w:sz w:val="32"/>
          <w:szCs w:val="32"/>
          <w:lang w:val="en-AU"/>
        </w:rPr>
        <w:t xml:space="preserve">Question 5: </w:t>
      </w:r>
      <w:r w:rsidR="00195E41" w:rsidRPr="006D33B9">
        <w:rPr>
          <w:sz w:val="32"/>
          <w:szCs w:val="32"/>
          <w:lang w:val="en-AU"/>
        </w:rPr>
        <w:t xml:space="preserve">What test should be used to ensure that the definition of direct discrimination is easy to understand and implement for both duty holders and people with disability, and why? </w:t>
      </w:r>
    </w:p>
    <w:p w14:paraId="7EE886ED" w14:textId="77777777" w:rsidR="00240A4D" w:rsidRPr="00240A4D" w:rsidRDefault="00240A4D" w:rsidP="00240A4D"/>
    <w:p w14:paraId="07E480BA" w14:textId="01C3771D" w:rsidR="00CD58D9" w:rsidRDefault="00FE3E44" w:rsidP="00FE3E44">
      <w:pPr>
        <w:pStyle w:val="Heading2"/>
        <w:spacing w:before="0" w:after="0"/>
        <w:contextualSpacing/>
        <w:jc w:val="both"/>
        <w:rPr>
          <w:sz w:val="32"/>
        </w:rPr>
      </w:pPr>
      <w:r>
        <w:rPr>
          <w:sz w:val="32"/>
        </w:rPr>
        <w:t xml:space="preserve">Question 6: </w:t>
      </w:r>
      <w:r w:rsidR="00195E41" w:rsidRPr="006D33B9">
        <w:rPr>
          <w:sz w:val="32"/>
        </w:rPr>
        <w:t>How should the burden of proof be addressed in the Disability Discrimination Act?</w:t>
      </w:r>
    </w:p>
    <w:p w14:paraId="166C0790" w14:textId="77777777" w:rsidR="006D33B9" w:rsidRPr="006D33B9" w:rsidRDefault="006D33B9" w:rsidP="00240A4D">
      <w:pPr>
        <w:contextualSpacing/>
        <w:jc w:val="both"/>
        <w:rPr>
          <w:lang w:val="en-US"/>
        </w:rPr>
      </w:pPr>
    </w:p>
    <w:p w14:paraId="3A656C52" w14:textId="41715167" w:rsidR="005065E6" w:rsidRDefault="003A12A9" w:rsidP="00240A4D">
      <w:pPr>
        <w:contextualSpacing/>
        <w:jc w:val="both"/>
      </w:pPr>
      <w:r w:rsidRPr="00AA1E9F">
        <w:t>We strongly support the approach recommended by the DRC, i.e., r</w:t>
      </w:r>
      <w:r w:rsidR="001F51C5" w:rsidRPr="00AA1E9F">
        <w:t>e</w:t>
      </w:r>
      <w:r w:rsidRPr="00AA1E9F">
        <w:t>placing the comparator test with an “unfavourable treatment” test, and shifting the burden of proof</w:t>
      </w:r>
      <w:r w:rsidR="00DE6B39" w:rsidRPr="00AA1E9F">
        <w:t xml:space="preserve"> from the complainant to the respondent</w:t>
      </w:r>
      <w:r w:rsidR="00267A1F" w:rsidRPr="00AA1E9F">
        <w:t xml:space="preserve"> </w:t>
      </w:r>
      <w:r w:rsidR="00AF3DED" w:rsidRPr="00AA1E9F">
        <w:t xml:space="preserve">by requiring the respondent to prove that </w:t>
      </w:r>
      <w:r w:rsidR="009530A6" w:rsidRPr="00AA1E9F">
        <w:t xml:space="preserve">alleged discrimination was not on the ground of disability. The arguments presented by the DRC and recapitulated in the Issues Paper are compelling, and </w:t>
      </w:r>
      <w:r w:rsidR="006B30F2" w:rsidRPr="00AA1E9F">
        <w:t xml:space="preserve">the adoption of the DRC’s recommendations will </w:t>
      </w:r>
      <w:r w:rsidR="00D47CF9" w:rsidRPr="00AA1E9F">
        <w:t xml:space="preserve">have significant benefit for people with </w:t>
      </w:r>
      <w:r w:rsidR="00641E4A" w:rsidRPr="00AA1E9F">
        <w:t>disability, especially when making compl</w:t>
      </w:r>
      <w:r w:rsidR="00CC25B3" w:rsidRPr="00AA1E9F">
        <w:t>a</w:t>
      </w:r>
      <w:r w:rsidR="00641E4A" w:rsidRPr="00AA1E9F">
        <w:t xml:space="preserve">ints in areas such as employment </w:t>
      </w:r>
      <w:r w:rsidR="001E6393" w:rsidRPr="00AA1E9F">
        <w:t>and the provision of digital goods and services</w:t>
      </w:r>
      <w:r w:rsidR="005065E6">
        <w:t>.</w:t>
      </w:r>
    </w:p>
    <w:p w14:paraId="79791E29" w14:textId="77777777" w:rsidR="00240A4D" w:rsidRPr="00AA1E9F" w:rsidRDefault="00240A4D" w:rsidP="00240A4D">
      <w:pPr>
        <w:contextualSpacing/>
        <w:jc w:val="both"/>
      </w:pPr>
    </w:p>
    <w:p w14:paraId="334E2A5E" w14:textId="3CE5B4D7" w:rsidR="005065E6" w:rsidRDefault="00FE3E44" w:rsidP="00FE3E44">
      <w:pPr>
        <w:pStyle w:val="Heading2"/>
        <w:spacing w:before="0" w:after="0"/>
        <w:contextualSpacing/>
        <w:jc w:val="both"/>
        <w:rPr>
          <w:sz w:val="32"/>
          <w:szCs w:val="32"/>
        </w:rPr>
      </w:pPr>
      <w:r>
        <w:rPr>
          <w:sz w:val="32"/>
          <w:szCs w:val="32"/>
        </w:rPr>
        <w:t xml:space="preserve">Question 7: </w:t>
      </w:r>
      <w:r w:rsidR="00423185" w:rsidRPr="00CB372E">
        <w:rPr>
          <w:sz w:val="32"/>
          <w:szCs w:val="32"/>
        </w:rPr>
        <w:t>How could the definition of indirect discrimination be amended to ensure that it is easy t</w:t>
      </w:r>
      <w:r w:rsidR="005065E6" w:rsidRPr="00CB372E">
        <w:rPr>
          <w:sz w:val="32"/>
          <w:szCs w:val="32"/>
        </w:rPr>
        <w:t xml:space="preserve">o </w:t>
      </w:r>
      <w:r w:rsidR="00423185" w:rsidRPr="00CB372E">
        <w:rPr>
          <w:sz w:val="32"/>
          <w:szCs w:val="32"/>
        </w:rPr>
        <w:t xml:space="preserve">understand and implement for people with disability and duty holders? </w:t>
      </w:r>
    </w:p>
    <w:p w14:paraId="75D5AEFF" w14:textId="77777777" w:rsidR="00240A4D" w:rsidRPr="00240A4D" w:rsidRDefault="00240A4D" w:rsidP="00240A4D">
      <w:pPr>
        <w:rPr>
          <w:lang w:val="en-US"/>
        </w:rPr>
      </w:pPr>
    </w:p>
    <w:p w14:paraId="3E604397" w14:textId="4A93F6E1" w:rsidR="00CB372E" w:rsidRPr="00FE3E44" w:rsidRDefault="00FE3E44" w:rsidP="00FE3E44">
      <w:pPr>
        <w:pStyle w:val="Heading2"/>
        <w:spacing w:before="0" w:after="0"/>
        <w:contextualSpacing/>
        <w:jc w:val="both"/>
        <w:rPr>
          <w:sz w:val="32"/>
          <w:szCs w:val="32"/>
        </w:rPr>
      </w:pPr>
      <w:r>
        <w:rPr>
          <w:sz w:val="32"/>
          <w:szCs w:val="32"/>
        </w:rPr>
        <w:t xml:space="preserve">Question 8: </w:t>
      </w:r>
      <w:r w:rsidR="00423185" w:rsidRPr="00CB372E">
        <w:rPr>
          <w:sz w:val="32"/>
          <w:szCs w:val="32"/>
        </w:rPr>
        <w:t xml:space="preserve">Should the reasonableness element in the definition of indirect discrimination be: </w:t>
      </w:r>
      <w:r>
        <w:rPr>
          <w:sz w:val="32"/>
          <w:szCs w:val="32"/>
        </w:rPr>
        <w:t xml:space="preserve">(a) </w:t>
      </w:r>
      <w:r w:rsidR="005065E6" w:rsidRPr="00FE3E44">
        <w:rPr>
          <w:bCs/>
          <w:sz w:val="32"/>
        </w:rPr>
        <w:t>removed</w:t>
      </w:r>
      <w:r>
        <w:rPr>
          <w:bCs/>
          <w:sz w:val="32"/>
        </w:rPr>
        <w:t xml:space="preserve">; (b) </w:t>
      </w:r>
      <w:r w:rsidR="005065E6" w:rsidRPr="00FE3E44">
        <w:rPr>
          <w:bCs/>
          <w:sz w:val="32"/>
        </w:rPr>
        <w:lastRenderedPageBreak/>
        <w:t>retained and supplemented with a list of factors</w:t>
      </w:r>
      <w:r>
        <w:rPr>
          <w:bCs/>
          <w:sz w:val="32"/>
        </w:rPr>
        <w:t xml:space="preserve">; (c) </w:t>
      </w:r>
      <w:r w:rsidR="005065E6" w:rsidRPr="00FE3E44">
        <w:rPr>
          <w:bCs/>
          <w:sz w:val="32"/>
        </w:rPr>
        <w:t>replaced by a legitimate and prop</w:t>
      </w:r>
      <w:r w:rsidR="00CB372E" w:rsidRPr="00FE3E44">
        <w:rPr>
          <w:bCs/>
          <w:sz w:val="32"/>
        </w:rPr>
        <w:t>ortionate test</w:t>
      </w:r>
      <w:r>
        <w:rPr>
          <w:bCs/>
          <w:sz w:val="32"/>
        </w:rPr>
        <w:t xml:space="preserve">; (d) </w:t>
      </w:r>
      <w:r w:rsidR="00CB372E" w:rsidRPr="00FE3E44">
        <w:rPr>
          <w:bCs/>
          <w:sz w:val="32"/>
        </w:rPr>
        <w:t>other</w:t>
      </w:r>
      <w:r>
        <w:rPr>
          <w:bCs/>
          <w:sz w:val="32"/>
        </w:rPr>
        <w:t>.</w:t>
      </w:r>
    </w:p>
    <w:p w14:paraId="2CBA0071" w14:textId="77777777" w:rsidR="00240A4D" w:rsidRPr="00CB372E" w:rsidRDefault="00240A4D" w:rsidP="00240A4D">
      <w:pPr>
        <w:pStyle w:val="ListParagraph"/>
        <w:ind w:left="765"/>
        <w:jc w:val="both"/>
        <w:rPr>
          <w:b/>
          <w:bCs/>
          <w:sz w:val="32"/>
          <w:lang w:val="en-US"/>
        </w:rPr>
      </w:pPr>
    </w:p>
    <w:p w14:paraId="24F03860" w14:textId="73CBEE90" w:rsidR="006D33B9" w:rsidRPr="00CB372E" w:rsidRDefault="00FE3E44" w:rsidP="00FE3E44">
      <w:pPr>
        <w:pStyle w:val="Heading2"/>
        <w:spacing w:before="0" w:after="0"/>
        <w:contextualSpacing/>
        <w:jc w:val="both"/>
        <w:rPr>
          <w:sz w:val="32"/>
          <w:szCs w:val="32"/>
        </w:rPr>
      </w:pPr>
      <w:r>
        <w:rPr>
          <w:sz w:val="32"/>
          <w:szCs w:val="32"/>
        </w:rPr>
        <w:t xml:space="preserve">Question 9: </w:t>
      </w:r>
      <w:r w:rsidR="005065E6" w:rsidRPr="00CB372E">
        <w:rPr>
          <w:sz w:val="32"/>
          <w:szCs w:val="32"/>
        </w:rPr>
        <w:t>Should the language of ‘does not or would not comply, or is not able or would not be able to comply’ be removed from the definition of indirect discrimination?</w:t>
      </w:r>
    </w:p>
    <w:p w14:paraId="73748368" w14:textId="77777777" w:rsidR="00F329AF" w:rsidRPr="00AA1E9F" w:rsidRDefault="00F329AF" w:rsidP="00240A4D">
      <w:pPr>
        <w:contextualSpacing/>
        <w:jc w:val="both"/>
      </w:pPr>
    </w:p>
    <w:p w14:paraId="665DC847" w14:textId="666ABDF8" w:rsidR="0072746D" w:rsidRPr="00AA1E9F" w:rsidRDefault="00F329AF" w:rsidP="00240A4D">
      <w:pPr>
        <w:contextualSpacing/>
        <w:jc w:val="both"/>
      </w:pPr>
      <w:r w:rsidRPr="00AA1E9F">
        <w:t xml:space="preserve">In our view, the amendment to the DDA that would make the definition of indirect discrimination easier to understand is the </w:t>
      </w:r>
      <w:r w:rsidR="00153EC7" w:rsidRPr="00AA1E9F">
        <w:t xml:space="preserve">complete </w:t>
      </w:r>
      <w:r w:rsidRPr="00AA1E9F">
        <w:t>removal of the “reasonableness” elem</w:t>
      </w:r>
      <w:r w:rsidR="00153EC7" w:rsidRPr="00AA1E9F">
        <w:t>ent. In our experience interacting with clients who have used the DDA to pursue compl</w:t>
      </w:r>
      <w:r w:rsidR="00085D2F" w:rsidRPr="00AA1E9F">
        <w:t>a</w:t>
      </w:r>
      <w:r w:rsidR="00153EC7" w:rsidRPr="00AA1E9F">
        <w:t>in</w:t>
      </w:r>
      <w:r w:rsidR="00F36CB2" w:rsidRPr="00AA1E9F">
        <w:t>t</w:t>
      </w:r>
      <w:r w:rsidR="00153EC7" w:rsidRPr="00AA1E9F">
        <w:t xml:space="preserve">s of disability discrimination, </w:t>
      </w:r>
      <w:r w:rsidR="00CF7702">
        <w:t>the “reasonableness” element, with its inherent imprecision,</w:t>
      </w:r>
      <w:r w:rsidR="00A55781" w:rsidRPr="00AA1E9F">
        <w:t xml:space="preserve"> </w:t>
      </w:r>
      <w:r w:rsidR="00CF7702">
        <w:t>often</w:t>
      </w:r>
      <w:r w:rsidR="00C76DA9">
        <w:t xml:space="preserve"> leads to protracted arguments that make it more difficult to achieve a satisfactory conciliated outcome</w:t>
      </w:r>
      <w:r w:rsidR="000D0F27" w:rsidRPr="00AA1E9F">
        <w:t>.</w:t>
      </w:r>
    </w:p>
    <w:p w14:paraId="48F4CAEE" w14:textId="77777777" w:rsidR="0072746D" w:rsidRPr="00AA1E9F" w:rsidRDefault="0072746D" w:rsidP="00240A4D">
      <w:pPr>
        <w:contextualSpacing/>
        <w:jc w:val="both"/>
      </w:pPr>
    </w:p>
    <w:p w14:paraId="32C9B08C" w14:textId="68C8B0DA" w:rsidR="009F359A" w:rsidRPr="00AA1E9F" w:rsidRDefault="0072746D" w:rsidP="00240A4D">
      <w:pPr>
        <w:contextualSpacing/>
        <w:jc w:val="both"/>
      </w:pPr>
      <w:r w:rsidRPr="00AA1E9F">
        <w:t xml:space="preserve">If it </w:t>
      </w:r>
      <w:r w:rsidR="007907F9">
        <w:t xml:space="preserve">is </w:t>
      </w:r>
      <w:r w:rsidRPr="00AA1E9F">
        <w:t>decided tha</w:t>
      </w:r>
      <w:r w:rsidR="00471559" w:rsidRPr="00AA1E9F">
        <w:t xml:space="preserve">t the “reasonableness” test must be retained, then we would strongly support the </w:t>
      </w:r>
      <w:r w:rsidR="006B3D8E" w:rsidRPr="00AA1E9F">
        <w:t>development of a non-exhaustive list of factors that must be taken into account when assessing its merits. We would prefer this option rather than, say, the introduction of a “legitimate</w:t>
      </w:r>
      <w:r w:rsidR="009F359A" w:rsidRPr="00AA1E9F">
        <w:t xml:space="preserve"> and proportionate” test since it is already used in other Commonwe</w:t>
      </w:r>
      <w:r w:rsidR="00DF6149" w:rsidRPr="00AA1E9F">
        <w:t>a</w:t>
      </w:r>
      <w:r w:rsidR="009F359A" w:rsidRPr="00AA1E9F">
        <w:t xml:space="preserve">lth and </w:t>
      </w:r>
      <w:r w:rsidR="00704389">
        <w:t>St</w:t>
      </w:r>
      <w:r w:rsidR="009F359A" w:rsidRPr="00AA1E9F">
        <w:t>ate/</w:t>
      </w:r>
      <w:r w:rsidR="00704389">
        <w:t>T</w:t>
      </w:r>
      <w:r w:rsidR="009F359A" w:rsidRPr="00AA1E9F">
        <w:t>erritory legislation.</w:t>
      </w:r>
    </w:p>
    <w:p w14:paraId="13A7D387" w14:textId="77777777" w:rsidR="009F359A" w:rsidRPr="00AA1E9F" w:rsidRDefault="009F359A" w:rsidP="00240A4D">
      <w:pPr>
        <w:contextualSpacing/>
        <w:jc w:val="both"/>
      </w:pPr>
    </w:p>
    <w:p w14:paraId="16A3223C" w14:textId="286DFAB8" w:rsidR="00F329AF" w:rsidRPr="00AA1E9F" w:rsidRDefault="009F359A" w:rsidP="00240A4D">
      <w:pPr>
        <w:contextualSpacing/>
        <w:jc w:val="both"/>
      </w:pPr>
      <w:r w:rsidRPr="00AA1E9F">
        <w:t>It is worth bearing in mind, however, that</w:t>
      </w:r>
      <w:r w:rsidR="00872AF8" w:rsidRPr="00AA1E9F">
        <w:t xml:space="preserve"> </w:t>
      </w:r>
      <w:r w:rsidR="001F7A07" w:rsidRPr="00AA1E9F">
        <w:t xml:space="preserve">any non-exhaustive list will need regular updates </w:t>
      </w:r>
      <w:r w:rsidR="00CF60FE" w:rsidRPr="00AA1E9F">
        <w:t>to reflect changes in the scope of disability discrimin</w:t>
      </w:r>
      <w:r w:rsidR="00F54DD1" w:rsidRPr="00AA1E9F">
        <w:t>ation. Of the various forms of discrimination, disability discrimination is most affected by changes in technology</w:t>
      </w:r>
      <w:r w:rsidR="00924C03" w:rsidRPr="00AA1E9F">
        <w:t xml:space="preserve">, and these cannot always be predicted. For example, </w:t>
      </w:r>
      <w:r w:rsidR="00376921" w:rsidRPr="00AA1E9F">
        <w:t>what might be considered (un</w:t>
      </w:r>
      <w:r w:rsidR="00BE2F38">
        <w:t>)</w:t>
      </w:r>
      <w:r w:rsidR="00376921" w:rsidRPr="00AA1E9F">
        <w:t xml:space="preserve">reasonable in </w:t>
      </w:r>
      <w:r w:rsidR="00F103D4" w:rsidRPr="00AA1E9F">
        <w:t xml:space="preserve">the domain of physical space might be considered differently in digital space. </w:t>
      </w:r>
      <w:r w:rsidR="00B029E6" w:rsidRPr="00AA1E9F">
        <w:t xml:space="preserve">For example, we are aware of situations where app developers have claimed that it is </w:t>
      </w:r>
      <w:r w:rsidR="00BC5452" w:rsidRPr="00AA1E9F">
        <w:t>unreasonable</w:t>
      </w:r>
      <w:r w:rsidR="00B029E6" w:rsidRPr="00AA1E9F">
        <w:t xml:space="preserve"> </w:t>
      </w:r>
      <w:r w:rsidR="00BC5452" w:rsidRPr="00AA1E9F">
        <w:t>to comply with accessibility standards. If the non-exhaust</w:t>
      </w:r>
      <w:r w:rsidR="00225A0C" w:rsidRPr="00AA1E9F">
        <w:t>i</w:t>
      </w:r>
      <w:r w:rsidR="00BC5452" w:rsidRPr="00AA1E9F">
        <w:t xml:space="preserve">ve list failed to </w:t>
      </w:r>
      <w:r w:rsidR="00FA6289" w:rsidRPr="00AA1E9F">
        <w:t xml:space="preserve">include examples of </w:t>
      </w:r>
      <w:r w:rsidR="00187FA1" w:rsidRPr="00AA1E9F">
        <w:t>application in</w:t>
      </w:r>
      <w:r w:rsidR="007B6E72" w:rsidRPr="00AA1E9F">
        <w:t xml:space="preserve"> the digital domain then its effectiveness w</w:t>
      </w:r>
      <w:r w:rsidR="00453626" w:rsidRPr="00AA1E9F">
        <w:t xml:space="preserve">ould be increasingly limited over time. </w:t>
      </w:r>
    </w:p>
    <w:p w14:paraId="4340CA50" w14:textId="77777777" w:rsidR="00A60800" w:rsidRPr="00AA1E9F" w:rsidRDefault="00A60800" w:rsidP="00240A4D">
      <w:pPr>
        <w:contextualSpacing/>
        <w:jc w:val="both"/>
      </w:pPr>
    </w:p>
    <w:p w14:paraId="0EFF9E82" w14:textId="1E3828F5" w:rsidR="00D3344A" w:rsidRPr="00AA1E9F" w:rsidRDefault="00D3344A" w:rsidP="00240A4D">
      <w:pPr>
        <w:contextualSpacing/>
        <w:jc w:val="both"/>
      </w:pPr>
      <w:r w:rsidRPr="00AA1E9F">
        <w:t>We strongly support the removal of the “inability to comply” requirement</w:t>
      </w:r>
      <w:r w:rsidR="00DE51E2" w:rsidRPr="00AA1E9F">
        <w:t xml:space="preserve"> from the definition of indirect discrimination. Ap</w:t>
      </w:r>
      <w:r w:rsidR="00225A0C" w:rsidRPr="00AA1E9F">
        <w:t>ar</w:t>
      </w:r>
      <w:r w:rsidR="00DE51E2" w:rsidRPr="00AA1E9F">
        <w:t>t from its confusing expression,</w:t>
      </w:r>
      <w:r w:rsidR="006C1EF3" w:rsidRPr="00AA1E9F">
        <w:t xml:space="preserve"> this requirement is especially problematic for people complaining about disability discrimination in</w:t>
      </w:r>
      <w:r w:rsidR="006720D2" w:rsidRPr="00AA1E9F">
        <w:t xml:space="preserve"> the provision of digital goods or digital services. </w:t>
      </w:r>
      <w:r w:rsidR="007563A5" w:rsidRPr="00AA1E9F">
        <w:t>T</w:t>
      </w:r>
      <w:r w:rsidR="006720D2" w:rsidRPr="00AA1E9F">
        <w:t>here is virtually no case law to clarify</w:t>
      </w:r>
      <w:r w:rsidR="005B7849" w:rsidRPr="00AA1E9F">
        <w:t xml:space="preserve"> the requirement in a digital context</w:t>
      </w:r>
      <w:r w:rsidR="0037107B" w:rsidRPr="00AA1E9F">
        <w:t xml:space="preserve">, and so it </w:t>
      </w:r>
      <w:r w:rsidR="003237D8" w:rsidRPr="00AA1E9F">
        <w:t xml:space="preserve">is </w:t>
      </w:r>
      <w:r w:rsidR="0037107B" w:rsidRPr="00AA1E9F">
        <w:t>open to respon</w:t>
      </w:r>
      <w:r w:rsidR="00DA6739" w:rsidRPr="00AA1E9F">
        <w:t>d</w:t>
      </w:r>
      <w:r w:rsidR="0037107B" w:rsidRPr="00AA1E9F">
        <w:t>ents to interpret the requ</w:t>
      </w:r>
      <w:r w:rsidR="00DF3072" w:rsidRPr="00AA1E9F">
        <w:t xml:space="preserve">irement in ways that are not beneficial to people with a disability. </w:t>
      </w:r>
      <w:r w:rsidR="0098369A" w:rsidRPr="00AA1E9F">
        <w:t xml:space="preserve">For example: screen-reading software </w:t>
      </w:r>
      <w:r w:rsidR="00881308" w:rsidRPr="00AA1E9F">
        <w:t>used by people who are blind to browse the web and</w:t>
      </w:r>
      <w:r w:rsidR="009E73F0" w:rsidRPr="00AA1E9F">
        <w:t xml:space="preserve"> interact</w:t>
      </w:r>
      <w:r w:rsidR="00DA6739" w:rsidRPr="00AA1E9F">
        <w:t xml:space="preserve"> with apps</w:t>
      </w:r>
      <w:r w:rsidR="009E73F0" w:rsidRPr="00AA1E9F">
        <w:t xml:space="preserve"> typically</w:t>
      </w:r>
      <w:r w:rsidR="00881308" w:rsidRPr="00AA1E9F">
        <w:t xml:space="preserve"> </w:t>
      </w:r>
      <w:r w:rsidR="0098369A" w:rsidRPr="00AA1E9F">
        <w:t>includes a large number of feature</w:t>
      </w:r>
      <w:r w:rsidR="009E73F0" w:rsidRPr="00AA1E9F">
        <w:t>s. Some of these features are designed for advanced users who</w:t>
      </w:r>
      <w:r w:rsidR="00415DF3" w:rsidRPr="00AA1E9F">
        <w:t xml:space="preserve"> have specific needs, and they are not easily </w:t>
      </w:r>
      <w:r w:rsidR="00EE15E6" w:rsidRPr="00AA1E9F">
        <w:t>applied by the average user</w:t>
      </w:r>
      <w:r w:rsidR="001E16B2" w:rsidRPr="00AA1E9F">
        <w:t>. If a DDA complaint is made about a websit</w:t>
      </w:r>
      <w:r w:rsidR="00EA03B9" w:rsidRPr="00AA1E9F">
        <w:t>e that does not comply with accessibili</w:t>
      </w:r>
      <w:r w:rsidR="0090046E" w:rsidRPr="00AA1E9F">
        <w:t>t</w:t>
      </w:r>
      <w:r w:rsidR="00EA03B9" w:rsidRPr="00AA1E9F">
        <w:t>y standards</w:t>
      </w:r>
      <w:r w:rsidR="0090046E" w:rsidRPr="00AA1E9F">
        <w:t xml:space="preserve"> and to that extent is not accessible to people usi</w:t>
      </w:r>
      <w:r w:rsidR="00F52007" w:rsidRPr="00AA1E9F">
        <w:t>ng screen-reading software</w:t>
      </w:r>
      <w:r w:rsidR="00EA03B9" w:rsidRPr="00AA1E9F">
        <w:t xml:space="preserve">, it is </w:t>
      </w:r>
      <w:r w:rsidR="00F52007" w:rsidRPr="00AA1E9F">
        <w:t xml:space="preserve">nevertheless </w:t>
      </w:r>
      <w:r w:rsidR="00EA03B9" w:rsidRPr="00AA1E9F">
        <w:t>open to a respondent to</w:t>
      </w:r>
      <w:r w:rsidR="00F52007" w:rsidRPr="00AA1E9F">
        <w:t xml:space="preserve"> claim, rightly or wrongly, that the website can be used </w:t>
      </w:r>
      <w:r w:rsidR="00E21045" w:rsidRPr="00AA1E9F">
        <w:t>if certain advanced but little-known features of the software are</w:t>
      </w:r>
      <w:r w:rsidR="00750352" w:rsidRPr="00AA1E9F">
        <w:t xml:space="preserve"> used. In other words, the respondent could argue that there is no inability to comply, even though </w:t>
      </w:r>
      <w:r w:rsidR="005B26F7" w:rsidRPr="00AA1E9F">
        <w:t>very few users of screen-reading software would, in practice, be able to do so.</w:t>
      </w:r>
    </w:p>
    <w:p w14:paraId="27A70AAB" w14:textId="77777777" w:rsidR="00B00BAE" w:rsidRPr="00AA1E9F" w:rsidRDefault="00B00BAE" w:rsidP="00240A4D">
      <w:pPr>
        <w:contextualSpacing/>
        <w:jc w:val="both"/>
      </w:pPr>
    </w:p>
    <w:p w14:paraId="41CFD82C" w14:textId="3F207577" w:rsidR="00130D84" w:rsidRDefault="00B00BAE" w:rsidP="00240A4D">
      <w:pPr>
        <w:contextualSpacing/>
        <w:jc w:val="both"/>
      </w:pPr>
      <w:r w:rsidRPr="00AA1E9F">
        <w:lastRenderedPageBreak/>
        <w:t>To eli</w:t>
      </w:r>
      <w:r w:rsidR="0075639A" w:rsidRPr="00AA1E9F">
        <w:t>mi</w:t>
      </w:r>
      <w:r w:rsidRPr="00AA1E9F">
        <w:t xml:space="preserve">nate confusion and prevent </w:t>
      </w:r>
      <w:r w:rsidR="005A0BB2" w:rsidRPr="00AA1E9F">
        <w:t xml:space="preserve">attempts to subvert the objects of the DDA by resorting to </w:t>
      </w:r>
      <w:r w:rsidR="00F829A7" w:rsidRPr="00AA1E9F">
        <w:t>arguments based around</w:t>
      </w:r>
      <w:r w:rsidR="000012DF" w:rsidRPr="00AA1E9F">
        <w:t xml:space="preserve"> technol</w:t>
      </w:r>
      <w:r w:rsidR="00E73972" w:rsidRPr="00AA1E9F">
        <w:t>o</w:t>
      </w:r>
      <w:r w:rsidR="000012DF" w:rsidRPr="00AA1E9F">
        <w:t>g</w:t>
      </w:r>
      <w:r w:rsidR="00E73972" w:rsidRPr="00AA1E9F">
        <w:t>i</w:t>
      </w:r>
      <w:r w:rsidR="000012DF" w:rsidRPr="00AA1E9F">
        <w:t>cal minutiae we therefore support removing the “inability to comply” requirement altogether.</w:t>
      </w:r>
    </w:p>
    <w:p w14:paraId="2433C852" w14:textId="77777777" w:rsidR="00CB372E" w:rsidRDefault="00CB372E" w:rsidP="00240A4D">
      <w:pPr>
        <w:contextualSpacing/>
        <w:jc w:val="both"/>
      </w:pPr>
    </w:p>
    <w:p w14:paraId="6A62A53C" w14:textId="1F081C6C" w:rsidR="00343BC0" w:rsidRPr="00FE3E44" w:rsidRDefault="00FE3E44" w:rsidP="00FE3E44">
      <w:pPr>
        <w:pStyle w:val="Heading2"/>
        <w:spacing w:before="0" w:after="0"/>
        <w:contextualSpacing/>
        <w:jc w:val="both"/>
        <w:rPr>
          <w:sz w:val="32"/>
        </w:rPr>
      </w:pPr>
      <w:r w:rsidRPr="00FE3E44">
        <w:rPr>
          <w:sz w:val="32"/>
          <w:szCs w:val="32"/>
        </w:rPr>
        <w:t xml:space="preserve">Question 10: </w:t>
      </w:r>
      <w:r w:rsidR="00CB372E" w:rsidRPr="00FE3E44">
        <w:rPr>
          <w:sz w:val="32"/>
          <w:szCs w:val="32"/>
        </w:rPr>
        <w:t xml:space="preserve">Should the Disabilities Convention be included in the </w:t>
      </w:r>
      <w:r w:rsidR="00CB372E" w:rsidRPr="00FE3E44">
        <w:rPr>
          <w:sz w:val="32"/>
        </w:rPr>
        <w:t>objects provision of the Disability Discrimination Act?</w:t>
      </w:r>
    </w:p>
    <w:p w14:paraId="6AFC1EF1" w14:textId="77777777" w:rsidR="00CB372E" w:rsidRPr="00CB372E" w:rsidRDefault="00CB372E" w:rsidP="00240A4D">
      <w:pPr>
        <w:pStyle w:val="ListParagraph"/>
        <w:ind w:left="765"/>
        <w:jc w:val="both"/>
        <w:rPr>
          <w:b/>
          <w:bCs/>
          <w:sz w:val="32"/>
        </w:rPr>
      </w:pPr>
    </w:p>
    <w:p w14:paraId="66942FF8" w14:textId="29238F83" w:rsidR="00CB372E" w:rsidRPr="00FE3E44" w:rsidRDefault="00FE3E44" w:rsidP="00FE3E44">
      <w:pPr>
        <w:jc w:val="both"/>
        <w:rPr>
          <w:b/>
          <w:bCs/>
          <w:sz w:val="32"/>
        </w:rPr>
      </w:pPr>
      <w:r>
        <w:rPr>
          <w:b/>
          <w:bCs/>
          <w:sz w:val="32"/>
        </w:rPr>
        <w:t xml:space="preserve">Question 11: </w:t>
      </w:r>
      <w:r w:rsidR="00CB372E" w:rsidRPr="00FE3E44">
        <w:rPr>
          <w:b/>
          <w:bCs/>
          <w:sz w:val="32"/>
        </w:rPr>
        <w:t>Should the Disability Discrimination Act be expressly required to be interpreted in a way that is beneficial to  people with disability, in line with human rights treaties?</w:t>
      </w:r>
    </w:p>
    <w:p w14:paraId="0A34A561" w14:textId="5CA6B711" w:rsidR="004028AE" w:rsidRPr="00AA1E9F" w:rsidRDefault="004028AE" w:rsidP="00240A4D">
      <w:pPr>
        <w:contextualSpacing/>
        <w:jc w:val="both"/>
      </w:pPr>
    </w:p>
    <w:p w14:paraId="1ABDCF18" w14:textId="08772CC8" w:rsidR="004028AE" w:rsidRPr="00AA1E9F" w:rsidRDefault="004028AE" w:rsidP="00240A4D">
      <w:pPr>
        <w:contextualSpacing/>
        <w:jc w:val="both"/>
      </w:pPr>
      <w:r w:rsidRPr="00AA1E9F">
        <w:t>We</w:t>
      </w:r>
      <w:r w:rsidR="00A90F3A" w:rsidRPr="00AA1E9F">
        <w:t xml:space="preserve"> support the inclusion of the Disabilities Convention in the o</w:t>
      </w:r>
      <w:r w:rsidR="00E52EAB" w:rsidRPr="00AA1E9F">
        <w:t>bjects provisions of the DDA</w:t>
      </w:r>
      <w:r w:rsidR="009E7D2B" w:rsidRPr="00AA1E9F">
        <w:t xml:space="preserve"> as the DRC has recommended</w:t>
      </w:r>
      <w:r w:rsidR="00E52EAB" w:rsidRPr="00AA1E9F">
        <w:t xml:space="preserve">. The Convention is the </w:t>
      </w:r>
      <w:r w:rsidR="00D14F4D" w:rsidRPr="00AA1E9F">
        <w:t>internationally agreed</w:t>
      </w:r>
      <w:r w:rsidR="00C273DC" w:rsidRPr="00AA1E9F">
        <w:t xml:space="preserve"> </w:t>
      </w:r>
      <w:r w:rsidR="009E7D2B" w:rsidRPr="00AA1E9F">
        <w:t>instrument</w:t>
      </w:r>
      <w:r w:rsidR="00C273DC" w:rsidRPr="00AA1E9F">
        <w:t xml:space="preserve"> that most clearly and strongly asserts the rights of people with disability</w:t>
      </w:r>
      <w:r w:rsidR="00CD253C" w:rsidRPr="00AA1E9F">
        <w:t xml:space="preserve">, and its inclusion in Australia’s closest counterpart is entirely fitting. Moreover, the average user of the DDA, whether they are </w:t>
      </w:r>
      <w:r w:rsidR="00B4680A" w:rsidRPr="00AA1E9F">
        <w:t xml:space="preserve">a </w:t>
      </w:r>
      <w:r w:rsidR="00CD253C" w:rsidRPr="00AA1E9F">
        <w:t>person with a disability lodg</w:t>
      </w:r>
      <w:r w:rsidR="00B4680A" w:rsidRPr="00AA1E9F">
        <w:t>ing</w:t>
      </w:r>
      <w:r w:rsidR="00CD253C" w:rsidRPr="00AA1E9F">
        <w:t xml:space="preserve"> a complaint or a</w:t>
      </w:r>
      <w:r w:rsidR="00EA5396" w:rsidRPr="00AA1E9F">
        <w:t xml:space="preserve"> duty hol</w:t>
      </w:r>
      <w:r w:rsidR="002440A0" w:rsidRPr="00AA1E9F">
        <w:t>d</w:t>
      </w:r>
      <w:r w:rsidR="00EA5396" w:rsidRPr="00AA1E9F">
        <w:t xml:space="preserve">er responding to </w:t>
      </w:r>
      <w:r w:rsidR="005F2D22" w:rsidRPr="00AA1E9F">
        <w:t>one</w:t>
      </w:r>
      <w:r w:rsidR="00EA5396" w:rsidRPr="00AA1E9F">
        <w:t xml:space="preserve">, is unlikely to be aware of how courts </w:t>
      </w:r>
      <w:r w:rsidR="00DB0E35" w:rsidRPr="00AA1E9F">
        <w:t xml:space="preserve">may or do </w:t>
      </w:r>
      <w:r w:rsidR="00EA5396" w:rsidRPr="00AA1E9F">
        <w:t xml:space="preserve">interpret </w:t>
      </w:r>
      <w:r w:rsidR="00CE3CA9" w:rsidRPr="00AA1E9F">
        <w:t>the DDA in light of Australia’s international obligations. We agree that including the Convention would have a symbolic and substantive impact</w:t>
      </w:r>
      <w:r w:rsidR="0060111A" w:rsidRPr="00AA1E9F">
        <w:t xml:space="preserve"> for people with disability by </w:t>
      </w:r>
      <w:r w:rsidR="00EB72FA" w:rsidRPr="00AA1E9F">
        <w:t>clarifying how the DDA and the Convention are related.</w:t>
      </w:r>
    </w:p>
    <w:p w14:paraId="6B21DC65" w14:textId="77777777" w:rsidR="00EB72FA" w:rsidRPr="00AA1E9F" w:rsidRDefault="00EB72FA" w:rsidP="00240A4D">
      <w:pPr>
        <w:contextualSpacing/>
        <w:jc w:val="both"/>
      </w:pPr>
    </w:p>
    <w:p w14:paraId="1979638A" w14:textId="2F08648D" w:rsidR="00240A4D" w:rsidRDefault="008F4B5E" w:rsidP="00240A4D">
      <w:pPr>
        <w:contextualSpacing/>
        <w:jc w:val="both"/>
      </w:pPr>
      <w:r w:rsidRPr="00AA1E9F">
        <w:t xml:space="preserve">Similarly, we </w:t>
      </w:r>
      <w:r w:rsidR="00767A08" w:rsidRPr="00AA1E9F">
        <w:t xml:space="preserve">support requiring the DDA to be interpreted beneficially in line with Australia’s human rights obligations. </w:t>
      </w:r>
      <w:r w:rsidR="00795778" w:rsidRPr="00AA1E9F">
        <w:t xml:space="preserve">The ubiquitous nature of the barriers faced by people with a disability in </w:t>
      </w:r>
      <w:r w:rsidR="001F6282" w:rsidRPr="00AA1E9F">
        <w:t>participating in the areas of public life covered by the DDA warrant expli</w:t>
      </w:r>
      <w:r w:rsidR="004C05DA" w:rsidRPr="00AA1E9F">
        <w:t xml:space="preserve">cit requirements about how the Act should be interpreted. In any case, such requirements would </w:t>
      </w:r>
      <w:r w:rsidR="00B021BC" w:rsidRPr="00AA1E9F">
        <w:t>encourage all parties to a D</w:t>
      </w:r>
      <w:r w:rsidR="00954A17" w:rsidRPr="00AA1E9F">
        <w:t>DA complaint to inform themselves about t</w:t>
      </w:r>
      <w:r w:rsidR="00041142" w:rsidRPr="00AA1E9F">
        <w:t>hose obligations as expressed through the Convention.</w:t>
      </w:r>
    </w:p>
    <w:p w14:paraId="680A1395" w14:textId="77777777" w:rsidR="00240A4D" w:rsidRPr="00AA1E9F" w:rsidRDefault="00240A4D" w:rsidP="00240A4D">
      <w:pPr>
        <w:contextualSpacing/>
        <w:jc w:val="both"/>
      </w:pPr>
    </w:p>
    <w:p w14:paraId="5E755B4D" w14:textId="3DF690A3" w:rsidR="00343BC0" w:rsidRPr="002328D7" w:rsidRDefault="002328D7" w:rsidP="002328D7">
      <w:pPr>
        <w:jc w:val="both"/>
        <w:rPr>
          <w:b/>
          <w:bCs/>
          <w:sz w:val="32"/>
        </w:rPr>
      </w:pPr>
      <w:r w:rsidRPr="002328D7">
        <w:rPr>
          <w:b/>
          <w:bCs/>
          <w:sz w:val="32"/>
        </w:rPr>
        <w:t xml:space="preserve">Question 12: </w:t>
      </w:r>
      <w:r w:rsidR="00717BD4" w:rsidRPr="002328D7">
        <w:rPr>
          <w:b/>
          <w:bCs/>
          <w:sz w:val="32"/>
        </w:rPr>
        <w:t>If there was a positive duty in the Disability</w:t>
      </w:r>
      <w:r w:rsidR="00343BC0" w:rsidRPr="002328D7">
        <w:rPr>
          <w:b/>
          <w:bCs/>
          <w:sz w:val="32"/>
        </w:rPr>
        <w:t xml:space="preserve"> </w:t>
      </w:r>
      <w:r w:rsidR="00717BD4" w:rsidRPr="002328D7">
        <w:rPr>
          <w:b/>
          <w:bCs/>
          <w:sz w:val="32"/>
        </w:rPr>
        <w:t xml:space="preserve">Discrimination Act, who should it apply to? </w:t>
      </w:r>
    </w:p>
    <w:p w14:paraId="4D1FEE03" w14:textId="77777777" w:rsidR="00240A4D" w:rsidRPr="002328D7" w:rsidRDefault="00240A4D" w:rsidP="002328D7">
      <w:pPr>
        <w:jc w:val="both"/>
        <w:rPr>
          <w:b/>
          <w:bCs/>
          <w:sz w:val="32"/>
        </w:rPr>
      </w:pPr>
    </w:p>
    <w:p w14:paraId="2FDA815C" w14:textId="4BCA15D8" w:rsidR="00717BD4" w:rsidRDefault="002328D7" w:rsidP="002328D7">
      <w:pPr>
        <w:pStyle w:val="Heading2"/>
        <w:spacing w:before="0" w:after="0"/>
        <w:contextualSpacing/>
        <w:jc w:val="both"/>
        <w:rPr>
          <w:sz w:val="32"/>
          <w:szCs w:val="32"/>
          <w:lang w:val="en-AU"/>
        </w:rPr>
      </w:pPr>
      <w:r>
        <w:rPr>
          <w:sz w:val="32"/>
          <w:szCs w:val="32"/>
          <w:lang w:val="en-AU"/>
        </w:rPr>
        <w:t xml:space="preserve">Question 13: </w:t>
      </w:r>
      <w:r w:rsidR="00717BD4" w:rsidRPr="003C6009">
        <w:rPr>
          <w:sz w:val="32"/>
          <w:szCs w:val="32"/>
          <w:lang w:val="en-AU"/>
        </w:rPr>
        <w:t xml:space="preserve">Are there lessons from the operation of the positive duty in the Sex Discrimination Act that could be incorporated into a positive duty in the Disability Discrimination Act? </w:t>
      </w:r>
    </w:p>
    <w:p w14:paraId="1DCC96D7" w14:textId="77777777" w:rsidR="00240A4D" w:rsidRPr="00240A4D" w:rsidRDefault="00240A4D" w:rsidP="00240A4D"/>
    <w:p w14:paraId="52B33296" w14:textId="5F5603CD" w:rsidR="00717BD4" w:rsidRDefault="002328D7" w:rsidP="002328D7">
      <w:pPr>
        <w:pStyle w:val="Heading2"/>
        <w:spacing w:before="0" w:after="0"/>
        <w:contextualSpacing/>
        <w:jc w:val="both"/>
        <w:rPr>
          <w:sz w:val="32"/>
          <w:szCs w:val="32"/>
          <w:lang w:val="en-AU"/>
        </w:rPr>
      </w:pPr>
      <w:r>
        <w:rPr>
          <w:sz w:val="32"/>
          <w:szCs w:val="32"/>
          <w:lang w:val="en-AU"/>
        </w:rPr>
        <w:t xml:space="preserve">Question 14: </w:t>
      </w:r>
      <w:r w:rsidR="00717BD4" w:rsidRPr="003C6009">
        <w:rPr>
          <w:sz w:val="32"/>
          <w:szCs w:val="32"/>
          <w:lang w:val="en-AU"/>
        </w:rPr>
        <w:t>What costs, benefits and other impacts would duty holders experience in meeting a</w:t>
      </w:r>
      <w:r w:rsidR="00CB372E" w:rsidRPr="003C6009">
        <w:rPr>
          <w:sz w:val="32"/>
          <w:szCs w:val="32"/>
          <w:lang w:val="en-AU"/>
        </w:rPr>
        <w:t xml:space="preserve"> </w:t>
      </w:r>
      <w:r w:rsidR="00717BD4" w:rsidRPr="003C6009">
        <w:rPr>
          <w:sz w:val="32"/>
          <w:szCs w:val="32"/>
          <w:lang w:val="en-AU"/>
        </w:rPr>
        <w:t xml:space="preserve">positive duty under the Disability Discrimination Act? If you are an existing duty holder under the Disability Discrimination Act, please </w:t>
      </w:r>
      <w:r w:rsidR="00717BD4" w:rsidRPr="003C6009">
        <w:rPr>
          <w:sz w:val="32"/>
          <w:szCs w:val="32"/>
          <w:lang w:val="en-AU"/>
        </w:rPr>
        <w:lastRenderedPageBreak/>
        <w:t xml:space="preserve">specify how you think meeting a positive duty would impact you. </w:t>
      </w:r>
    </w:p>
    <w:p w14:paraId="5A0F535B" w14:textId="77777777" w:rsidR="00240A4D" w:rsidRPr="00240A4D" w:rsidRDefault="00240A4D" w:rsidP="00240A4D"/>
    <w:p w14:paraId="29B9EA48" w14:textId="3A3ABEFC" w:rsidR="00041142" w:rsidRPr="003C6009" w:rsidRDefault="002328D7" w:rsidP="00240A4D">
      <w:pPr>
        <w:pStyle w:val="Heading2"/>
        <w:spacing w:before="0" w:after="0"/>
        <w:contextualSpacing/>
        <w:jc w:val="both"/>
        <w:rPr>
          <w:sz w:val="32"/>
          <w:szCs w:val="32"/>
          <w:lang w:val="en-AU"/>
        </w:rPr>
      </w:pPr>
      <w:r>
        <w:rPr>
          <w:sz w:val="32"/>
          <w:szCs w:val="32"/>
          <w:lang w:val="en-AU"/>
        </w:rPr>
        <w:t xml:space="preserve">Question 15: </w:t>
      </w:r>
      <w:r w:rsidR="00717BD4" w:rsidRPr="003C6009">
        <w:rPr>
          <w:sz w:val="32"/>
          <w:szCs w:val="32"/>
          <w:lang w:val="en-AU"/>
        </w:rPr>
        <w:t>Should there be exceptions or limits to the application of a positive duty?</w:t>
      </w:r>
    </w:p>
    <w:p w14:paraId="09FC7C75" w14:textId="77777777" w:rsidR="004B49ED" w:rsidRPr="00AA1E9F" w:rsidRDefault="004B49ED" w:rsidP="00240A4D">
      <w:pPr>
        <w:contextualSpacing/>
        <w:jc w:val="both"/>
      </w:pPr>
    </w:p>
    <w:p w14:paraId="343174A0" w14:textId="7D102B68" w:rsidR="005A4C44" w:rsidRPr="00AA1E9F" w:rsidRDefault="004B49ED" w:rsidP="00240A4D">
      <w:pPr>
        <w:contextualSpacing/>
        <w:jc w:val="both"/>
      </w:pPr>
      <w:r w:rsidRPr="00AA1E9F">
        <w:t>We</w:t>
      </w:r>
      <w:r w:rsidR="00A4192E" w:rsidRPr="00AA1E9F">
        <w:t xml:space="preserve"> strongly support the DRC’s recommendations relating to the inclusion of a positive duty in the DDA.</w:t>
      </w:r>
      <w:r w:rsidR="00A51D57" w:rsidRPr="00AA1E9F">
        <w:t xml:space="preserve"> </w:t>
      </w:r>
      <w:r w:rsidR="00E028FC" w:rsidRPr="00AA1E9F">
        <w:t xml:space="preserve">In particular, </w:t>
      </w:r>
      <w:r w:rsidR="008E443A" w:rsidRPr="00AA1E9F">
        <w:t>our view is that the positive duty must apply to all duty holders covered by the DDA, not just those involved in employment or conductin</w:t>
      </w:r>
      <w:r w:rsidR="00E479F5" w:rsidRPr="00AA1E9F">
        <w:t xml:space="preserve">g a business, as is the case with the positive duty requirement in the Sex Discrimination Act. </w:t>
      </w:r>
      <w:r w:rsidR="00872186" w:rsidRPr="00AA1E9F">
        <w:t xml:space="preserve">Of all the </w:t>
      </w:r>
      <w:r w:rsidR="00D2617A" w:rsidRPr="00AA1E9F">
        <w:t xml:space="preserve">DRC’s recommendations relating to the DDA, we believe that those </w:t>
      </w:r>
      <w:r w:rsidR="00434F0B" w:rsidRPr="00AA1E9F">
        <w:t>referring</w:t>
      </w:r>
      <w:r w:rsidR="00D2617A" w:rsidRPr="00AA1E9F">
        <w:t xml:space="preserve"> to the in</w:t>
      </w:r>
      <w:r w:rsidR="001C4CC2" w:rsidRPr="00AA1E9F">
        <w:t>c</w:t>
      </w:r>
      <w:r w:rsidR="00434F0B" w:rsidRPr="00AA1E9F">
        <w:t>lus</w:t>
      </w:r>
      <w:r w:rsidR="00D2617A" w:rsidRPr="00AA1E9F">
        <w:t>ion of a positive duty are the most urgentl</w:t>
      </w:r>
      <w:r w:rsidR="00192E4D" w:rsidRPr="00AA1E9F">
        <w:t>y needed. If the DDA continues with</w:t>
      </w:r>
      <w:r w:rsidR="003E555E">
        <w:t>out</w:t>
      </w:r>
      <w:r w:rsidR="00192E4D" w:rsidRPr="00AA1E9F">
        <w:t xml:space="preserve"> a positive duty requirement then it</w:t>
      </w:r>
      <w:r w:rsidR="002D1DB4" w:rsidRPr="00AA1E9F">
        <w:t xml:space="preserve">s usefulness in achieving lasting systemic change will </w:t>
      </w:r>
      <w:r w:rsidR="005A4C44" w:rsidRPr="00AA1E9F">
        <w:t>remain fatally diminished.</w:t>
      </w:r>
    </w:p>
    <w:p w14:paraId="76FDE02D" w14:textId="77777777" w:rsidR="005A4C44" w:rsidRPr="00AA1E9F" w:rsidRDefault="005A4C44" w:rsidP="00240A4D">
      <w:pPr>
        <w:contextualSpacing/>
        <w:jc w:val="both"/>
      </w:pPr>
    </w:p>
    <w:p w14:paraId="1665D82A" w14:textId="110C4988" w:rsidR="00B00BAE" w:rsidRPr="00AA1E9F" w:rsidRDefault="005A4C44" w:rsidP="00240A4D">
      <w:pPr>
        <w:contextualSpacing/>
        <w:jc w:val="both"/>
      </w:pPr>
      <w:r w:rsidRPr="00AA1E9F">
        <w:t>While we ackn</w:t>
      </w:r>
      <w:r w:rsidR="009A51FC" w:rsidRPr="00AA1E9F">
        <w:t xml:space="preserve">owledge that consideration should be given to a duty holder’s resources, </w:t>
      </w:r>
      <w:r w:rsidR="007502D7" w:rsidRPr="00AA1E9F">
        <w:t>we think that such consideration must be calibrated according to the area in which th</w:t>
      </w:r>
      <w:r w:rsidR="00530D02" w:rsidRPr="00AA1E9F">
        <w:t>e</w:t>
      </w:r>
      <w:r w:rsidR="007502D7" w:rsidRPr="00AA1E9F">
        <w:t xml:space="preserve"> duty holder operates. For example, </w:t>
      </w:r>
      <w:r w:rsidR="005B4943" w:rsidRPr="00AA1E9F">
        <w:t>almost all business operators, including sole traders, have a website. It is not more expensive to design a websi</w:t>
      </w:r>
      <w:r w:rsidR="00530D02" w:rsidRPr="00AA1E9F">
        <w:t>t</w:t>
      </w:r>
      <w:r w:rsidR="005B4943" w:rsidRPr="00AA1E9F">
        <w:t>e that complies with accessibili</w:t>
      </w:r>
      <w:r w:rsidR="00CB7F09" w:rsidRPr="00AA1E9F">
        <w:t>t</w:t>
      </w:r>
      <w:r w:rsidR="005B4943" w:rsidRPr="00AA1E9F">
        <w:t>y standards such as the Web Content Accessibil</w:t>
      </w:r>
      <w:r w:rsidR="00CB7F09" w:rsidRPr="00AA1E9F">
        <w:t>i</w:t>
      </w:r>
      <w:r w:rsidR="005B4943" w:rsidRPr="00AA1E9F">
        <w:t>ty Guidelines (WCAG)</w:t>
      </w:r>
      <w:r w:rsidR="00865A57" w:rsidRPr="00AA1E9F">
        <w:t>. It can become much more expensive if the core elements of accessibility are not in</w:t>
      </w:r>
      <w:r w:rsidR="00A03DF3" w:rsidRPr="00AA1E9F">
        <w:t>c</w:t>
      </w:r>
      <w:r w:rsidR="00865A57" w:rsidRPr="00AA1E9F">
        <w:t>lu</w:t>
      </w:r>
      <w:r w:rsidR="00A03DF3" w:rsidRPr="00AA1E9F">
        <w:t>d</w:t>
      </w:r>
      <w:r w:rsidR="00865A57" w:rsidRPr="00AA1E9F">
        <w:t xml:space="preserve">ed at the outset and must be “retrofitted” </w:t>
      </w:r>
      <w:r w:rsidR="00AD6713" w:rsidRPr="00AA1E9F">
        <w:t>after the website has been finali</w:t>
      </w:r>
      <w:r w:rsidR="006A3D87" w:rsidRPr="00AA1E9F">
        <w:t>s</w:t>
      </w:r>
      <w:r w:rsidR="00AD6713" w:rsidRPr="00AA1E9F">
        <w:t xml:space="preserve">ed. This </w:t>
      </w:r>
      <w:r w:rsidR="006B0268" w:rsidRPr="00AA1E9F">
        <w:t xml:space="preserve">is </w:t>
      </w:r>
      <w:r w:rsidR="00AD6713" w:rsidRPr="00AA1E9F">
        <w:t xml:space="preserve">also the case with apps. </w:t>
      </w:r>
      <w:r w:rsidR="00357CCD" w:rsidRPr="00AA1E9F">
        <w:t xml:space="preserve">It must </w:t>
      </w:r>
      <w:r w:rsidR="006A3D87" w:rsidRPr="00AA1E9F">
        <w:t xml:space="preserve">therefore </w:t>
      </w:r>
      <w:r w:rsidR="00357CCD" w:rsidRPr="00AA1E9F">
        <w:t>be made clear that a positive duty does include incorporating accessibili</w:t>
      </w:r>
      <w:r w:rsidR="006B0268" w:rsidRPr="00AA1E9F">
        <w:t>t</w:t>
      </w:r>
      <w:r w:rsidR="00357CCD" w:rsidRPr="00AA1E9F">
        <w:t>y features into websites, apps and other ways of providing services in the digital space.</w:t>
      </w:r>
    </w:p>
    <w:p w14:paraId="205C10F7" w14:textId="77777777" w:rsidR="00AA341A" w:rsidRPr="00AA1E9F" w:rsidRDefault="00AA341A" w:rsidP="00240A4D">
      <w:pPr>
        <w:contextualSpacing/>
        <w:jc w:val="both"/>
      </w:pPr>
    </w:p>
    <w:p w14:paraId="34CED1C3" w14:textId="1D437156" w:rsidR="00BC6B05" w:rsidRPr="00AA1E9F" w:rsidRDefault="00BC6B05" w:rsidP="00240A4D">
      <w:pPr>
        <w:contextualSpacing/>
        <w:jc w:val="both"/>
      </w:pPr>
      <w:r w:rsidRPr="00AA1E9F">
        <w:t xml:space="preserve">We also believe that guidance to duty holders must </w:t>
      </w:r>
      <w:r w:rsidR="00D4517D" w:rsidRPr="00AA1E9F">
        <w:t xml:space="preserve">refer to the provision of documents in accessible formats. </w:t>
      </w:r>
      <w:r w:rsidR="00B14870" w:rsidRPr="00AA1E9F">
        <w:t>We freq</w:t>
      </w:r>
      <w:r w:rsidR="00FF7E71" w:rsidRPr="00AA1E9F">
        <w:t>uently receive feedback from clients that they have been unable to obtain document</w:t>
      </w:r>
      <w:r w:rsidR="00CA299D">
        <w:t>s</w:t>
      </w:r>
      <w:r w:rsidR="00FF7E71" w:rsidRPr="00AA1E9F">
        <w:t>, forms and other printed information</w:t>
      </w:r>
      <w:r w:rsidR="005611F7" w:rsidRPr="00AA1E9F">
        <w:t xml:space="preserve"> from government department</w:t>
      </w:r>
      <w:r w:rsidR="002A5CC1" w:rsidRPr="00AA1E9F">
        <w:t>s</w:t>
      </w:r>
      <w:r w:rsidR="005611F7" w:rsidRPr="00AA1E9F">
        <w:t xml:space="preserve">, </w:t>
      </w:r>
      <w:r w:rsidR="002A5CC1" w:rsidRPr="00AA1E9F">
        <w:t xml:space="preserve">tribunals, courts, </w:t>
      </w:r>
      <w:r w:rsidR="005611F7" w:rsidRPr="00AA1E9F">
        <w:t>organisations and businesses in accessible formats.</w:t>
      </w:r>
      <w:r w:rsidR="007300F0" w:rsidRPr="00AA1E9F">
        <w:t xml:space="preserve"> It should not be necessary for a DDA complaint to be lodged on each occasion whe</w:t>
      </w:r>
      <w:r w:rsidR="002429C7" w:rsidRPr="00AA1E9F">
        <w:t>n there is a failure to provide accessible information.</w:t>
      </w:r>
    </w:p>
    <w:p w14:paraId="7FC1C326" w14:textId="77777777" w:rsidR="002429C7" w:rsidRPr="00AA1E9F" w:rsidRDefault="002429C7" w:rsidP="00240A4D">
      <w:pPr>
        <w:contextualSpacing/>
        <w:jc w:val="both"/>
      </w:pPr>
    </w:p>
    <w:p w14:paraId="2E6F4207" w14:textId="35184953" w:rsidR="00AA341A" w:rsidRPr="00AA1E9F" w:rsidRDefault="00AA341A" w:rsidP="00240A4D">
      <w:pPr>
        <w:contextualSpacing/>
        <w:jc w:val="both"/>
      </w:pPr>
      <w:r w:rsidRPr="00AA1E9F">
        <w:t>As an employer Vision Australia has had some experience with the positive duty requi</w:t>
      </w:r>
      <w:r w:rsidR="003900C7" w:rsidRPr="00AA1E9F">
        <w:t>r</w:t>
      </w:r>
      <w:r w:rsidRPr="00AA1E9F">
        <w:t>ement in the Sex Discrimin</w:t>
      </w:r>
      <w:r w:rsidR="00357B2A" w:rsidRPr="00AA1E9F">
        <w:t>a</w:t>
      </w:r>
      <w:r w:rsidRPr="00AA1E9F">
        <w:t xml:space="preserve">tion Act. </w:t>
      </w:r>
      <w:r w:rsidR="00357B2A" w:rsidRPr="00AA1E9F">
        <w:t xml:space="preserve">A key to the success of a positive duty is </w:t>
      </w:r>
      <w:r w:rsidR="00A265BE" w:rsidRPr="00AA1E9F">
        <w:t xml:space="preserve">having access to comprehensive guidance material that includes how the positive duty </w:t>
      </w:r>
      <w:r w:rsidR="00BE21C9" w:rsidRPr="00AA1E9F">
        <w:t>may or should apply in a variety of real-world scenarios.</w:t>
      </w:r>
      <w:r w:rsidR="00217126" w:rsidRPr="00AA1E9F">
        <w:t xml:space="preserve"> It is also important that organisations </w:t>
      </w:r>
      <w:r w:rsidR="00D22328" w:rsidRPr="00AA1E9F">
        <w:t>are given</w:t>
      </w:r>
      <w:r w:rsidR="00217126" w:rsidRPr="00AA1E9F">
        <w:t xml:space="preserve"> suffic</w:t>
      </w:r>
      <w:r w:rsidR="007167F5" w:rsidRPr="00AA1E9F">
        <w:t xml:space="preserve">ient </w:t>
      </w:r>
      <w:r w:rsidR="00D22328" w:rsidRPr="00AA1E9F">
        <w:t xml:space="preserve">time </w:t>
      </w:r>
      <w:r w:rsidR="007167F5" w:rsidRPr="00AA1E9F">
        <w:t xml:space="preserve">to become familiar with the concept and develop </w:t>
      </w:r>
      <w:r w:rsidR="00164472" w:rsidRPr="00AA1E9F">
        <w:t>strategies for achieving compl</w:t>
      </w:r>
      <w:r w:rsidR="00D22328" w:rsidRPr="00AA1E9F">
        <w:t>iance</w:t>
      </w:r>
      <w:r w:rsidR="0070711F" w:rsidRPr="00AA1E9F">
        <w:t>.</w:t>
      </w:r>
    </w:p>
    <w:p w14:paraId="4E4913A5" w14:textId="77777777" w:rsidR="0070711F" w:rsidRPr="00AA1E9F" w:rsidRDefault="0070711F" w:rsidP="00240A4D">
      <w:pPr>
        <w:contextualSpacing/>
        <w:jc w:val="both"/>
      </w:pPr>
    </w:p>
    <w:p w14:paraId="2DD53620" w14:textId="4015F1AE" w:rsidR="00102181" w:rsidRDefault="0070711F" w:rsidP="00240A4D">
      <w:pPr>
        <w:contextualSpacing/>
        <w:jc w:val="both"/>
      </w:pPr>
      <w:r w:rsidRPr="00AA1E9F">
        <w:t xml:space="preserve">While we support the </w:t>
      </w:r>
      <w:r w:rsidR="00CE2AC5" w:rsidRPr="00AA1E9F">
        <w:t>recommendation that the AHRC be able to investigate positive duties and enter into enforceable undertakings, we have misgiving</w:t>
      </w:r>
      <w:r w:rsidR="00CA299D">
        <w:t>s</w:t>
      </w:r>
      <w:r w:rsidR="00CE2AC5" w:rsidRPr="00AA1E9F">
        <w:t xml:space="preserve"> about its capacity to do so </w:t>
      </w:r>
      <w:r w:rsidR="007B3CFD" w:rsidRPr="00AA1E9F">
        <w:t xml:space="preserve">at its current resourcing levels. We </w:t>
      </w:r>
      <w:r w:rsidR="00385352" w:rsidRPr="00AA1E9F">
        <w:t>often</w:t>
      </w:r>
      <w:r w:rsidR="007B3CFD" w:rsidRPr="00AA1E9F">
        <w:t xml:space="preserve"> hear from cli</w:t>
      </w:r>
      <w:r w:rsidR="00385352" w:rsidRPr="00AA1E9F">
        <w:t>e</w:t>
      </w:r>
      <w:r w:rsidR="007B3CFD" w:rsidRPr="00AA1E9F">
        <w:t>nts that they can wait up to 12 months for the</w:t>
      </w:r>
      <w:r w:rsidR="0026555F">
        <w:t>ir</w:t>
      </w:r>
      <w:r w:rsidR="007B3CFD" w:rsidRPr="00AA1E9F">
        <w:t xml:space="preserve"> DDA compl</w:t>
      </w:r>
      <w:r w:rsidR="001B64DD" w:rsidRPr="00AA1E9F">
        <w:t>a</w:t>
      </w:r>
      <w:r w:rsidR="007B3CFD" w:rsidRPr="00AA1E9F">
        <w:t>in</w:t>
      </w:r>
      <w:r w:rsidR="00773FA1" w:rsidRPr="00AA1E9F">
        <w:t>t</w:t>
      </w:r>
      <w:r w:rsidR="007B3CFD" w:rsidRPr="00AA1E9F">
        <w:t xml:space="preserve"> to be processed</w:t>
      </w:r>
      <w:r w:rsidR="00A613CA" w:rsidRPr="00AA1E9F">
        <w:t>, and the resolution process can be protracted. If a positive duty is to be effective, it</w:t>
      </w:r>
      <w:r w:rsidR="00994224" w:rsidRPr="00AA1E9F">
        <w:t xml:space="preserve"> will be essential for </w:t>
      </w:r>
      <w:r w:rsidR="00DF1867" w:rsidRPr="00AA1E9F">
        <w:t xml:space="preserve">the AHRC </w:t>
      </w:r>
      <w:r w:rsidR="007A4938" w:rsidRPr="00AA1E9F">
        <w:t xml:space="preserve">to </w:t>
      </w:r>
      <w:r w:rsidR="00DF1867" w:rsidRPr="00AA1E9F">
        <w:t xml:space="preserve">be sufficiently resourced to carry out its relevant </w:t>
      </w:r>
      <w:r w:rsidR="001F6997" w:rsidRPr="00AA1E9F">
        <w:t>responsibilities,</w:t>
      </w:r>
      <w:r w:rsidR="00BB597A" w:rsidRPr="00AA1E9F">
        <w:t xml:space="preserve"> </w:t>
      </w:r>
      <w:r w:rsidR="007A4938" w:rsidRPr="00AA1E9F">
        <w:t>and also that it be given clear directions and expectations about how those responsibil</w:t>
      </w:r>
      <w:r w:rsidR="00773FA1" w:rsidRPr="00AA1E9F">
        <w:t>i</w:t>
      </w:r>
      <w:r w:rsidR="007A4938" w:rsidRPr="00AA1E9F">
        <w:t xml:space="preserve">ties </w:t>
      </w:r>
      <w:r w:rsidR="00102181" w:rsidRPr="00AA1E9F">
        <w:t>should be carried out.</w:t>
      </w:r>
    </w:p>
    <w:p w14:paraId="20C20D9B" w14:textId="77AE7D0B" w:rsidR="00240A4D" w:rsidRPr="00AA1E9F" w:rsidRDefault="00240A4D" w:rsidP="00240A4D">
      <w:pPr>
        <w:contextualSpacing/>
        <w:jc w:val="both"/>
      </w:pPr>
    </w:p>
    <w:p w14:paraId="7F0FF9BA" w14:textId="188B65AC" w:rsidR="00240A4D" w:rsidRDefault="002328D7" w:rsidP="002328D7">
      <w:pPr>
        <w:pStyle w:val="Heading2"/>
        <w:spacing w:before="0" w:after="0"/>
        <w:contextualSpacing/>
        <w:jc w:val="both"/>
        <w:rPr>
          <w:sz w:val="32"/>
          <w:szCs w:val="32"/>
          <w:lang w:val="en-AU"/>
        </w:rPr>
      </w:pPr>
      <w:r>
        <w:rPr>
          <w:sz w:val="32"/>
          <w:szCs w:val="32"/>
          <w:lang w:val="en-AU"/>
        </w:rPr>
        <w:lastRenderedPageBreak/>
        <w:t>Question 16:</w:t>
      </w:r>
      <w:r w:rsidR="00240A4D">
        <w:rPr>
          <w:sz w:val="32"/>
          <w:szCs w:val="32"/>
          <w:lang w:val="en-AU"/>
        </w:rPr>
        <w:t xml:space="preserve"> </w:t>
      </w:r>
      <w:r w:rsidR="004F4482" w:rsidRPr="003C6009">
        <w:rPr>
          <w:sz w:val="32"/>
          <w:szCs w:val="32"/>
          <w:lang w:val="en-AU"/>
        </w:rPr>
        <w:t>Would the creation of a stand</w:t>
      </w:r>
      <w:r w:rsidR="004F4482" w:rsidRPr="003C6009">
        <w:rPr>
          <w:rFonts w:ascii="Cambria Math" w:hAnsi="Cambria Math" w:cs="Cambria Math"/>
          <w:sz w:val="32"/>
          <w:szCs w:val="32"/>
          <w:lang w:val="en-AU"/>
        </w:rPr>
        <w:t>‑</w:t>
      </w:r>
      <w:r w:rsidR="004F4482" w:rsidRPr="003C6009">
        <w:rPr>
          <w:sz w:val="32"/>
          <w:szCs w:val="32"/>
          <w:lang w:val="en-AU"/>
        </w:rPr>
        <w:t xml:space="preserve">alone duty to provide adjustments better assist people with disability and duty holders to understand their rights and obligations? </w:t>
      </w:r>
    </w:p>
    <w:p w14:paraId="35775AF4" w14:textId="77777777" w:rsidR="00240A4D" w:rsidRPr="00240A4D" w:rsidRDefault="00240A4D" w:rsidP="00240A4D"/>
    <w:p w14:paraId="094AC995" w14:textId="25ED59BA" w:rsidR="00240A4D" w:rsidRDefault="002328D7" w:rsidP="002328D7">
      <w:pPr>
        <w:pStyle w:val="Heading2"/>
        <w:spacing w:before="0" w:after="0"/>
        <w:contextualSpacing/>
        <w:jc w:val="both"/>
        <w:rPr>
          <w:sz w:val="32"/>
          <w:szCs w:val="32"/>
          <w:lang w:val="en-AU"/>
        </w:rPr>
      </w:pPr>
      <w:r>
        <w:rPr>
          <w:sz w:val="32"/>
          <w:szCs w:val="32"/>
          <w:lang w:val="en-AU"/>
        </w:rPr>
        <w:t xml:space="preserve">Question 17: </w:t>
      </w:r>
      <w:r w:rsidR="004F4482" w:rsidRPr="003C6009">
        <w:rPr>
          <w:sz w:val="32"/>
          <w:szCs w:val="32"/>
          <w:lang w:val="en-AU"/>
        </w:rPr>
        <w:t xml:space="preserve">Should the scope of the duty to provide adjustments apply only to the existing areas of public life covered by the Disability Discrimination Act, or extend to other contexts? </w:t>
      </w:r>
    </w:p>
    <w:p w14:paraId="7004CB98" w14:textId="77777777" w:rsidR="00240A4D" w:rsidRPr="00240A4D" w:rsidRDefault="00240A4D" w:rsidP="00240A4D"/>
    <w:p w14:paraId="07D41BFC" w14:textId="2BB37FA9" w:rsidR="004F4482" w:rsidRPr="003C6009" w:rsidRDefault="002328D7" w:rsidP="00240A4D">
      <w:pPr>
        <w:pStyle w:val="Heading2"/>
        <w:spacing w:before="0" w:after="0"/>
        <w:contextualSpacing/>
        <w:jc w:val="both"/>
        <w:rPr>
          <w:sz w:val="32"/>
          <w:szCs w:val="32"/>
          <w:lang w:val="en-AU"/>
        </w:rPr>
      </w:pPr>
      <w:r>
        <w:rPr>
          <w:sz w:val="32"/>
          <w:szCs w:val="32"/>
          <w:lang w:val="en-AU"/>
        </w:rPr>
        <w:t xml:space="preserve">Question 18: </w:t>
      </w:r>
      <w:r w:rsidR="004F4482" w:rsidRPr="003C6009">
        <w:rPr>
          <w:sz w:val="32"/>
          <w:szCs w:val="32"/>
          <w:lang w:val="en-AU"/>
        </w:rPr>
        <w:t xml:space="preserve">Would removing the word ‘ reasonable’ from the term ‘ reasonable adjustments’ to align the language with the legal effect create any unintended consequences? </w:t>
      </w:r>
    </w:p>
    <w:p w14:paraId="3A0F4EA9" w14:textId="77777777" w:rsidR="00102181" w:rsidRPr="00AA1E9F" w:rsidRDefault="00102181" w:rsidP="00240A4D">
      <w:pPr>
        <w:contextualSpacing/>
        <w:jc w:val="both"/>
      </w:pPr>
    </w:p>
    <w:p w14:paraId="4E93A670" w14:textId="433125F1" w:rsidR="00CB0C74" w:rsidRPr="00AA1E9F" w:rsidRDefault="005C7199" w:rsidP="00240A4D">
      <w:pPr>
        <w:contextualSpacing/>
        <w:jc w:val="both"/>
      </w:pPr>
      <w:r w:rsidRPr="00AA1E9F">
        <w:t xml:space="preserve">We regularly </w:t>
      </w:r>
      <w:r w:rsidR="00387614" w:rsidRPr="00AA1E9F">
        <w:t>hear from cli</w:t>
      </w:r>
      <w:r w:rsidR="003B23F1" w:rsidRPr="00AA1E9F">
        <w:t>e</w:t>
      </w:r>
      <w:r w:rsidR="00387614" w:rsidRPr="00AA1E9F">
        <w:t xml:space="preserve">nts about the </w:t>
      </w:r>
      <w:r w:rsidR="00107C5A" w:rsidRPr="00AA1E9F">
        <w:t xml:space="preserve">unwillingness or </w:t>
      </w:r>
      <w:r w:rsidR="00387614" w:rsidRPr="00AA1E9F">
        <w:t>failure of duty holders, especially employers and education providers, to make adjustments</w:t>
      </w:r>
      <w:r w:rsidR="00107C5A" w:rsidRPr="00AA1E9F">
        <w:t>, even if the provision of those adjustments w</w:t>
      </w:r>
      <w:r w:rsidR="001A3594" w:rsidRPr="00AA1E9F">
        <w:t>ould</w:t>
      </w:r>
      <w:r w:rsidR="00107C5A" w:rsidRPr="00AA1E9F">
        <w:t xml:space="preserve"> not impose an unjustifiable hardship</w:t>
      </w:r>
      <w:r w:rsidR="00387614" w:rsidRPr="00AA1E9F">
        <w:t>.</w:t>
      </w:r>
      <w:r w:rsidR="009D0124" w:rsidRPr="00AA1E9F">
        <w:t xml:space="preserve"> </w:t>
      </w:r>
      <w:r w:rsidR="00EC70A0" w:rsidRPr="00AA1E9F">
        <w:t xml:space="preserve">Sometimes the issue seems to be </w:t>
      </w:r>
      <w:r w:rsidR="00BE333F" w:rsidRPr="00AA1E9F">
        <w:t xml:space="preserve">a misapplication of the notion of reasonableness, but in other cases it seems to </w:t>
      </w:r>
      <w:r w:rsidR="00CB0C74" w:rsidRPr="00AA1E9F">
        <w:t>be little more than wilful perversity.</w:t>
      </w:r>
    </w:p>
    <w:p w14:paraId="68553DBF" w14:textId="77777777" w:rsidR="00CB0C74" w:rsidRPr="00AA1E9F" w:rsidRDefault="00CB0C74" w:rsidP="00240A4D">
      <w:pPr>
        <w:contextualSpacing/>
        <w:jc w:val="both"/>
      </w:pPr>
    </w:p>
    <w:p w14:paraId="26517691" w14:textId="78D8E001" w:rsidR="0070711F" w:rsidRPr="00AA1E9F" w:rsidRDefault="00CB0C74" w:rsidP="00240A4D">
      <w:pPr>
        <w:contextualSpacing/>
        <w:jc w:val="both"/>
      </w:pPr>
      <w:r w:rsidRPr="00AA1E9F">
        <w:t xml:space="preserve">We support </w:t>
      </w:r>
      <w:r w:rsidR="006E3BB5" w:rsidRPr="00AA1E9F">
        <w:t>the DRC’s recommendation</w:t>
      </w:r>
      <w:r w:rsidR="00BC6D7B" w:rsidRPr="00AA1E9F">
        <w:t>s</w:t>
      </w:r>
      <w:r w:rsidR="006E3BB5" w:rsidRPr="00AA1E9F">
        <w:t xml:space="preserve"> to create a stand-alone </w:t>
      </w:r>
      <w:r w:rsidR="007F4B4A" w:rsidRPr="00AA1E9F">
        <w:t>duty to provide adjustments and the removal of the word “reasonable” wh</w:t>
      </w:r>
      <w:r w:rsidR="008559D4" w:rsidRPr="00AA1E9F">
        <w:t>erever it is used in the context of adjustments.</w:t>
      </w:r>
      <w:r w:rsidR="00994224" w:rsidRPr="00AA1E9F">
        <w:t xml:space="preserve"> </w:t>
      </w:r>
      <w:r w:rsidR="00F8410E" w:rsidRPr="00AA1E9F">
        <w:t xml:space="preserve">Not only would implementing these recommendations address concerns raised by the Sklavos decision, it would also make the concept of adjustments easier to understand and increase the likelihood that duty holders </w:t>
      </w:r>
      <w:r w:rsidR="00815D82" w:rsidRPr="00AA1E9F">
        <w:t xml:space="preserve">would </w:t>
      </w:r>
      <w:r w:rsidR="00DA76DA" w:rsidRPr="00AA1E9F">
        <w:t>make adjustments without the need for people with a disability to initiate the process in situations where there is an inevitable power imb</w:t>
      </w:r>
      <w:r w:rsidR="00A14230" w:rsidRPr="00AA1E9F">
        <w:t>a</w:t>
      </w:r>
      <w:r w:rsidR="00DA76DA" w:rsidRPr="00AA1E9F">
        <w:t>lanc</w:t>
      </w:r>
      <w:r w:rsidR="00130192" w:rsidRPr="00AA1E9F">
        <w:t>e</w:t>
      </w:r>
      <w:r w:rsidR="00DA76DA" w:rsidRPr="00AA1E9F">
        <w:t>, for example when a new employee requires adjustment</w:t>
      </w:r>
      <w:r w:rsidR="00EB49EE" w:rsidRPr="00AA1E9F">
        <w:t>s.</w:t>
      </w:r>
    </w:p>
    <w:p w14:paraId="3FF4283F" w14:textId="77777777" w:rsidR="00EB49EE" w:rsidRPr="00AA1E9F" w:rsidRDefault="00EB49EE" w:rsidP="00240A4D">
      <w:pPr>
        <w:contextualSpacing/>
        <w:jc w:val="both"/>
      </w:pPr>
    </w:p>
    <w:p w14:paraId="139B22AC" w14:textId="0F183537" w:rsidR="00EB49EE" w:rsidRPr="00AA1E9F" w:rsidRDefault="00646F5C" w:rsidP="00240A4D">
      <w:pPr>
        <w:contextualSpacing/>
        <w:jc w:val="both"/>
      </w:pPr>
      <w:r w:rsidRPr="00AA1E9F">
        <w:t>We</w:t>
      </w:r>
      <w:r w:rsidR="00D14D42" w:rsidRPr="00AA1E9F">
        <w:t xml:space="preserve"> have given </w:t>
      </w:r>
      <w:r w:rsidR="00735D97" w:rsidRPr="00AA1E9F">
        <w:t xml:space="preserve">careful </w:t>
      </w:r>
      <w:r w:rsidR="00D14D42" w:rsidRPr="00AA1E9F">
        <w:t>consider</w:t>
      </w:r>
      <w:r w:rsidR="00735D97" w:rsidRPr="00AA1E9F">
        <w:t>ation</w:t>
      </w:r>
      <w:r w:rsidR="00D14D42" w:rsidRPr="00AA1E9F">
        <w:t xml:space="preserve"> to the scope of the stand-alon</w:t>
      </w:r>
      <w:r w:rsidR="000B45C3" w:rsidRPr="00AA1E9F">
        <w:t>e</w:t>
      </w:r>
      <w:r w:rsidR="00D14D42" w:rsidRPr="00AA1E9F">
        <w:t xml:space="preserve"> duty. We certainly support the </w:t>
      </w:r>
      <w:r w:rsidR="008B3F36" w:rsidRPr="00AA1E9F">
        <w:t xml:space="preserve">intent of the DRC’s recommendation to broaden the scope to </w:t>
      </w:r>
      <w:r w:rsidR="006C669C" w:rsidRPr="00AA1E9F">
        <w:t>apply to</w:t>
      </w:r>
      <w:r w:rsidR="008B3F36" w:rsidRPr="00AA1E9F">
        <w:t xml:space="preserve"> contexts and situ</w:t>
      </w:r>
      <w:r w:rsidR="00CB0C7D" w:rsidRPr="00AA1E9F">
        <w:t>a</w:t>
      </w:r>
      <w:r w:rsidR="008B3F36" w:rsidRPr="00AA1E9F">
        <w:t>tion</w:t>
      </w:r>
      <w:r w:rsidR="00CB0C7D" w:rsidRPr="00AA1E9F">
        <w:t>s</w:t>
      </w:r>
      <w:r w:rsidR="008B3F36" w:rsidRPr="00AA1E9F">
        <w:t xml:space="preserve"> not currently </w:t>
      </w:r>
      <w:r w:rsidR="006C669C" w:rsidRPr="00AA1E9F">
        <w:t>covered by the DDA. On balance, however,</w:t>
      </w:r>
      <w:r w:rsidR="00BC60EB" w:rsidRPr="00AA1E9F">
        <w:t xml:space="preserve"> we believe that </w:t>
      </w:r>
      <w:r w:rsidR="00A0646C" w:rsidRPr="00AA1E9F">
        <w:t xml:space="preserve">broadening the scope in this way would create </w:t>
      </w:r>
      <w:r w:rsidR="005C7A6E" w:rsidRPr="00AA1E9F">
        <w:t>uncertainty even with careful attention to legislative drafti</w:t>
      </w:r>
      <w:r w:rsidR="004861AC" w:rsidRPr="00AA1E9F">
        <w:t>ng. It could lead to an avalanche of complaints that would be</w:t>
      </w:r>
      <w:r w:rsidR="000B45C3" w:rsidRPr="00AA1E9F">
        <w:t xml:space="preserve"> </w:t>
      </w:r>
      <w:r w:rsidR="004861AC" w:rsidRPr="00AA1E9F">
        <w:t xml:space="preserve">beyond the capacity of the AHRC to </w:t>
      </w:r>
      <w:r w:rsidR="00771302" w:rsidRPr="00AA1E9F">
        <w:t>process, and th</w:t>
      </w:r>
      <w:r w:rsidR="00CB3E3C" w:rsidRPr="00AA1E9F">
        <w:t>ere could well be a net negative impact on people with disability.</w:t>
      </w:r>
    </w:p>
    <w:p w14:paraId="424E79AA" w14:textId="77777777" w:rsidR="00CB3E3C" w:rsidRPr="00AA1E9F" w:rsidRDefault="00CB3E3C" w:rsidP="00240A4D">
      <w:pPr>
        <w:contextualSpacing/>
        <w:jc w:val="both"/>
      </w:pPr>
    </w:p>
    <w:p w14:paraId="6DA1AF45" w14:textId="603AC52B" w:rsidR="00CB3E3C" w:rsidRPr="00AA1E9F" w:rsidRDefault="00CB3E3C" w:rsidP="00240A4D">
      <w:pPr>
        <w:contextualSpacing/>
        <w:jc w:val="both"/>
      </w:pPr>
      <w:r w:rsidRPr="00AA1E9F">
        <w:t>We therefore support creating the stand-alone duty to provide adjustm</w:t>
      </w:r>
      <w:r w:rsidR="0042709D" w:rsidRPr="00AA1E9F">
        <w:t>e</w:t>
      </w:r>
      <w:r w:rsidRPr="00AA1E9F">
        <w:t>n</w:t>
      </w:r>
      <w:r w:rsidR="0042709D" w:rsidRPr="00AA1E9F">
        <w:t>t</w:t>
      </w:r>
      <w:r w:rsidRPr="00AA1E9F">
        <w:t xml:space="preserve">s </w:t>
      </w:r>
      <w:r w:rsidR="0042709D" w:rsidRPr="00AA1E9F">
        <w:t>only in</w:t>
      </w:r>
      <w:r w:rsidR="002755EE" w:rsidRPr="00AA1E9F">
        <w:t xml:space="preserve"> areas that are currently </w:t>
      </w:r>
      <w:r w:rsidR="00411FE6" w:rsidRPr="00AA1E9F">
        <w:t xml:space="preserve">within the scope of the DDA. However, broadening the scope </w:t>
      </w:r>
      <w:r w:rsidR="003D5680" w:rsidRPr="00AA1E9F">
        <w:t xml:space="preserve">should </w:t>
      </w:r>
      <w:r w:rsidR="00325992" w:rsidRPr="00AA1E9F">
        <w:t xml:space="preserve">certainly </w:t>
      </w:r>
      <w:r w:rsidR="003D5680" w:rsidRPr="00AA1E9F">
        <w:t xml:space="preserve">be a topic for future discussion once the stand-alone duty has become </w:t>
      </w:r>
      <w:r w:rsidR="00DE5FF1" w:rsidRPr="00AA1E9F">
        <w:t>established.</w:t>
      </w:r>
    </w:p>
    <w:p w14:paraId="695C0A7F" w14:textId="77777777" w:rsidR="00C26D1A" w:rsidRPr="00AA1E9F" w:rsidRDefault="00C26D1A" w:rsidP="00240A4D">
      <w:pPr>
        <w:contextualSpacing/>
        <w:jc w:val="both"/>
      </w:pPr>
    </w:p>
    <w:p w14:paraId="700F07AE" w14:textId="2BE07B1B" w:rsidR="003C6009" w:rsidRPr="002328D7" w:rsidRDefault="002328D7" w:rsidP="002328D7">
      <w:pPr>
        <w:pStyle w:val="Heading2"/>
        <w:spacing w:before="0" w:after="0"/>
        <w:contextualSpacing/>
        <w:jc w:val="both"/>
        <w:rPr>
          <w:sz w:val="32"/>
          <w:szCs w:val="32"/>
          <w:lang w:val="en-AU"/>
        </w:rPr>
      </w:pPr>
      <w:r>
        <w:rPr>
          <w:sz w:val="32"/>
          <w:szCs w:val="32"/>
          <w:lang w:val="en-AU"/>
        </w:rPr>
        <w:t xml:space="preserve">Question 19: </w:t>
      </w:r>
      <w:r w:rsidR="00F43F59" w:rsidRPr="003C6009">
        <w:rPr>
          <w:sz w:val="32"/>
          <w:szCs w:val="32"/>
          <w:lang w:val="en-AU"/>
        </w:rPr>
        <w:t xml:space="preserve">What is your preferred approach to achieving greater fairness and transparency in claims of unjustifiable </w:t>
      </w:r>
      <w:r w:rsidR="00F43F59" w:rsidRPr="003C6009">
        <w:rPr>
          <w:sz w:val="32"/>
          <w:szCs w:val="32"/>
          <w:lang w:val="en-AU"/>
        </w:rPr>
        <w:lastRenderedPageBreak/>
        <w:t xml:space="preserve">hardship: </w:t>
      </w:r>
      <w:r w:rsidR="00CB372E" w:rsidRPr="003C6009">
        <w:rPr>
          <w:sz w:val="32"/>
          <w:szCs w:val="32"/>
        </w:rPr>
        <w:t xml:space="preserve">(a) </w:t>
      </w:r>
      <w:r w:rsidR="003C6009" w:rsidRPr="003C6009">
        <w:rPr>
          <w:sz w:val="32"/>
          <w:szCs w:val="32"/>
        </w:rPr>
        <w:tab/>
      </w:r>
      <w:r w:rsidR="00CB372E" w:rsidRPr="003C6009">
        <w:rPr>
          <w:sz w:val="32"/>
          <w:szCs w:val="32"/>
        </w:rPr>
        <w:t>the Disability Royal Commission amendment as</w:t>
      </w:r>
      <w:r w:rsidR="003C6009" w:rsidRPr="003C6009">
        <w:rPr>
          <w:b w:val="0"/>
          <w:sz w:val="32"/>
          <w:szCs w:val="32"/>
        </w:rPr>
        <w:t xml:space="preserve"> </w:t>
      </w:r>
      <w:r w:rsidR="00CB372E" w:rsidRPr="003C6009">
        <w:rPr>
          <w:sz w:val="32"/>
          <w:szCs w:val="32"/>
        </w:rPr>
        <w:t>proposed</w:t>
      </w:r>
      <w:r>
        <w:rPr>
          <w:sz w:val="32"/>
          <w:szCs w:val="32"/>
        </w:rPr>
        <w:t xml:space="preserve">; </w:t>
      </w:r>
      <w:r w:rsidR="003C6009" w:rsidRPr="003C6009">
        <w:rPr>
          <w:sz w:val="32"/>
          <w:szCs w:val="32"/>
        </w:rPr>
        <w:t>(b)</w:t>
      </w:r>
      <w:r w:rsidR="003C6009" w:rsidRPr="003C6009">
        <w:rPr>
          <w:sz w:val="32"/>
          <w:szCs w:val="32"/>
        </w:rPr>
        <w:tab/>
        <w:t>a new definition of unjustifiable hardship</w:t>
      </w:r>
    </w:p>
    <w:p w14:paraId="29272D18" w14:textId="57AC02C5" w:rsidR="003C6009" w:rsidRPr="003C6009" w:rsidRDefault="003C6009" w:rsidP="00240A4D">
      <w:pPr>
        <w:contextualSpacing/>
        <w:jc w:val="both"/>
        <w:rPr>
          <w:b/>
          <w:sz w:val="32"/>
        </w:rPr>
      </w:pPr>
      <w:r w:rsidRPr="003C6009">
        <w:rPr>
          <w:b/>
          <w:sz w:val="32"/>
        </w:rPr>
        <w:t>(c)</w:t>
      </w:r>
      <w:r w:rsidRPr="003C6009">
        <w:rPr>
          <w:b/>
          <w:sz w:val="32"/>
        </w:rPr>
        <w:tab/>
        <w:t>other</w:t>
      </w:r>
    </w:p>
    <w:p w14:paraId="46FA2E7D" w14:textId="77777777" w:rsidR="005767D4" w:rsidRPr="00AA1E9F" w:rsidRDefault="005767D4" w:rsidP="00240A4D">
      <w:pPr>
        <w:contextualSpacing/>
        <w:jc w:val="both"/>
      </w:pPr>
    </w:p>
    <w:p w14:paraId="2B686370" w14:textId="52728803" w:rsidR="009C4770" w:rsidRPr="00AA1E9F" w:rsidRDefault="009C4770" w:rsidP="00240A4D">
      <w:pPr>
        <w:contextualSpacing/>
        <w:jc w:val="both"/>
      </w:pPr>
      <w:r w:rsidRPr="00AA1E9F">
        <w:t>We</w:t>
      </w:r>
      <w:r w:rsidR="002261DA" w:rsidRPr="00AA1E9F">
        <w:t xml:space="preserve"> support the DRC’s recommendation to include the two additional factors (consultation and alternative options) </w:t>
      </w:r>
      <w:r w:rsidR="00347A3C" w:rsidRPr="00AA1E9F">
        <w:t xml:space="preserve">that must be taken into account when assessing claims of unjustifiable hardship. In our experience duty holders often misunderstand the </w:t>
      </w:r>
      <w:r w:rsidR="002C2834" w:rsidRPr="00AA1E9F">
        <w:t xml:space="preserve">nature of </w:t>
      </w:r>
      <w:r w:rsidR="00347A3C" w:rsidRPr="00AA1E9F">
        <w:t>adjustments tha</w:t>
      </w:r>
      <w:r w:rsidR="002C2834" w:rsidRPr="00AA1E9F">
        <w:t xml:space="preserve">t can be made, and assume that those adjustments that incur the greatest expense are the only ones that </w:t>
      </w:r>
      <w:r w:rsidR="00D03717" w:rsidRPr="00AA1E9F">
        <w:t>could be made. Employers, for example, may have no understanding of how people who are blind can use compu</w:t>
      </w:r>
      <w:r w:rsidR="009E4BFA" w:rsidRPr="00AA1E9F">
        <w:t>t</w:t>
      </w:r>
      <w:r w:rsidR="00D03717" w:rsidRPr="00AA1E9F">
        <w:t>ers and apps via screen-reading software, and so they assume erroneously that</w:t>
      </w:r>
      <w:r w:rsidR="00256244" w:rsidRPr="00AA1E9F">
        <w:t xml:space="preserve"> any </w:t>
      </w:r>
      <w:r w:rsidR="00B075C1" w:rsidRPr="00AA1E9F">
        <w:t>task</w:t>
      </w:r>
      <w:r w:rsidR="00256244" w:rsidRPr="00AA1E9F">
        <w:t xml:space="preserve"> requiring the use of compu</w:t>
      </w:r>
      <w:r w:rsidR="002B1742" w:rsidRPr="00AA1E9F">
        <w:t>t</w:t>
      </w:r>
      <w:r w:rsidR="00256244" w:rsidRPr="00AA1E9F">
        <w:t>ers i</w:t>
      </w:r>
      <w:r w:rsidR="00C701AA">
        <w:t xml:space="preserve">s </w:t>
      </w:r>
      <w:r w:rsidR="00256244" w:rsidRPr="00AA1E9F">
        <w:t xml:space="preserve">by definition </w:t>
      </w:r>
      <w:r w:rsidR="00B075C1" w:rsidRPr="00AA1E9F">
        <w:t xml:space="preserve">impossible </w:t>
      </w:r>
      <w:r w:rsidR="002B1742" w:rsidRPr="00AA1E9F">
        <w:t>for a person who is blind to accomplish.</w:t>
      </w:r>
    </w:p>
    <w:p w14:paraId="3550AB6C" w14:textId="77777777" w:rsidR="002B1742" w:rsidRPr="00AA1E9F" w:rsidRDefault="002B1742" w:rsidP="00240A4D">
      <w:pPr>
        <w:contextualSpacing/>
        <w:jc w:val="both"/>
      </w:pPr>
    </w:p>
    <w:p w14:paraId="41484C71" w14:textId="5C3FE477" w:rsidR="002B1742" w:rsidRPr="00AA1E9F" w:rsidRDefault="002B1742" w:rsidP="00240A4D">
      <w:pPr>
        <w:contextualSpacing/>
        <w:jc w:val="both"/>
      </w:pPr>
      <w:r w:rsidRPr="00AA1E9F">
        <w:t>Similarly, e-commerce businesses that use inaccessible websites may assume tha</w:t>
      </w:r>
      <w:r w:rsidR="006579D3" w:rsidRPr="00AA1E9F">
        <w:t>t providing</w:t>
      </w:r>
      <w:r w:rsidR="0007613B" w:rsidRPr="00AA1E9F">
        <w:t xml:space="preserve"> an option to order by phone is</w:t>
      </w:r>
      <w:r w:rsidR="00233D52" w:rsidRPr="00AA1E9F">
        <w:t xml:space="preserve"> an acceptable adjustment, rather than rectifying the </w:t>
      </w:r>
      <w:r w:rsidR="00EB1C14">
        <w:t xml:space="preserve">inaccessible </w:t>
      </w:r>
      <w:r w:rsidR="00233D52" w:rsidRPr="00AA1E9F">
        <w:t xml:space="preserve">online ordering process. They often do not consult with people who are blind or have </w:t>
      </w:r>
      <w:r w:rsidR="006B25E3" w:rsidRPr="00AA1E9F">
        <w:t xml:space="preserve">low vision, and so wrongly assume that </w:t>
      </w:r>
      <w:r w:rsidR="00A144D4" w:rsidRPr="00AA1E9F">
        <w:t xml:space="preserve">everyone is able to use the phone </w:t>
      </w:r>
      <w:r w:rsidR="003C6996" w:rsidRPr="00AA1E9F">
        <w:t>even though it is staffed only during business hours, whereas the online ordering</w:t>
      </w:r>
      <w:r w:rsidR="00540C45" w:rsidRPr="00AA1E9F">
        <w:t xml:space="preserve"> system</w:t>
      </w:r>
      <w:r w:rsidR="003C6996" w:rsidRPr="00AA1E9F">
        <w:t xml:space="preserve"> is available 24/7.</w:t>
      </w:r>
    </w:p>
    <w:p w14:paraId="2AC2B904" w14:textId="77777777" w:rsidR="003C6996" w:rsidRPr="00AA1E9F" w:rsidRDefault="003C6996" w:rsidP="00240A4D">
      <w:pPr>
        <w:contextualSpacing/>
        <w:jc w:val="both"/>
      </w:pPr>
    </w:p>
    <w:p w14:paraId="65D26AC4" w14:textId="53CAC380" w:rsidR="005767D4" w:rsidRPr="00AA1E9F" w:rsidRDefault="00D06381" w:rsidP="00240A4D">
      <w:pPr>
        <w:contextualSpacing/>
        <w:jc w:val="both"/>
      </w:pPr>
      <w:r w:rsidRPr="00AA1E9F">
        <w:t>The use of inaccessible captchas on many websites is another example of where lack of consultation and the failure to c</w:t>
      </w:r>
      <w:r w:rsidR="005C0DD1" w:rsidRPr="00AA1E9F">
        <w:t xml:space="preserve">onsider alternatives often results in claims of unjustifiable hardship based on the need to maintain cyber-security. There is, of course, no reason why accessibility and security </w:t>
      </w:r>
      <w:r w:rsidR="00ED1298" w:rsidRPr="00AA1E9F">
        <w:t>should be</w:t>
      </w:r>
      <w:r w:rsidR="009D6B2A" w:rsidRPr="00AA1E9F">
        <w:t xml:space="preserve"> viewed as incompatible, but if web and app developers fail to consult with people who are blind or have low vision, and if they fail to consider alternative opt</w:t>
      </w:r>
      <w:r w:rsidR="00F855C0" w:rsidRPr="00AA1E9F">
        <w:t xml:space="preserve">ions, then they will have substantially misinformed themselves about the situation and any claims of unjustifiable hardship will </w:t>
      </w:r>
      <w:r w:rsidR="00B4497E" w:rsidRPr="00AA1E9F">
        <w:t>likewise be substantially misinformed.</w:t>
      </w:r>
    </w:p>
    <w:p w14:paraId="3DA042E9" w14:textId="77777777" w:rsidR="00B4497E" w:rsidRPr="00AA1E9F" w:rsidRDefault="00B4497E" w:rsidP="00240A4D">
      <w:pPr>
        <w:contextualSpacing/>
        <w:jc w:val="both"/>
      </w:pPr>
    </w:p>
    <w:p w14:paraId="046D093B" w14:textId="6069FEB8" w:rsidR="00B4497E" w:rsidRPr="00AA1E9F" w:rsidRDefault="00B4497E" w:rsidP="00240A4D">
      <w:pPr>
        <w:contextualSpacing/>
        <w:jc w:val="both"/>
      </w:pPr>
      <w:r w:rsidRPr="00AA1E9F">
        <w:t>If it is decided to develop a new definition of unjustifiable hardship, then it is essential that it i</w:t>
      </w:r>
      <w:r w:rsidR="00115749" w:rsidRPr="00AA1E9F">
        <w:t xml:space="preserve">nclude consultation and consideration of alternative options as two of the factors that must be </w:t>
      </w:r>
      <w:r w:rsidR="00E17E24" w:rsidRPr="00AA1E9F">
        <w:t xml:space="preserve">taken into account, otherwise it is likely to become </w:t>
      </w:r>
      <w:r w:rsidR="009E4BFA" w:rsidRPr="00AA1E9F">
        <w:t>problematic over time, jus</w:t>
      </w:r>
      <w:r w:rsidR="00333BFB" w:rsidRPr="00AA1E9F">
        <w:t>t as</w:t>
      </w:r>
      <w:r w:rsidR="009E4BFA" w:rsidRPr="00AA1E9F">
        <w:t xml:space="preserve"> the current definition has.</w:t>
      </w:r>
    </w:p>
    <w:p w14:paraId="013BB08E" w14:textId="77777777" w:rsidR="009E4BFA" w:rsidRPr="00AA1E9F" w:rsidRDefault="009E4BFA" w:rsidP="00240A4D">
      <w:pPr>
        <w:contextualSpacing/>
        <w:jc w:val="both"/>
      </w:pPr>
    </w:p>
    <w:p w14:paraId="60D4E78A" w14:textId="0C2AB45F" w:rsidR="00B139F3" w:rsidRPr="003C6009" w:rsidRDefault="002328D7" w:rsidP="00240A4D">
      <w:pPr>
        <w:contextualSpacing/>
        <w:jc w:val="both"/>
        <w:rPr>
          <w:b/>
          <w:bCs/>
          <w:sz w:val="32"/>
        </w:rPr>
      </w:pPr>
      <w:r>
        <w:rPr>
          <w:b/>
          <w:bCs/>
          <w:sz w:val="32"/>
        </w:rPr>
        <w:t xml:space="preserve">Question 20: </w:t>
      </w:r>
      <w:r w:rsidR="00B139F3" w:rsidRPr="003C6009">
        <w:rPr>
          <w:b/>
          <w:bCs/>
          <w:sz w:val="32"/>
        </w:rPr>
        <w:t xml:space="preserve">What are your views on amending the Disability Discrimination Act to consider the nature and extent of any adjustments made and encourage consultation between prospective or current employers and prospective or current employees before making employment decisions? </w:t>
      </w:r>
    </w:p>
    <w:p w14:paraId="44B42942" w14:textId="77777777" w:rsidR="003C6009" w:rsidRPr="003C6009" w:rsidRDefault="003C6009" w:rsidP="00240A4D">
      <w:pPr>
        <w:contextualSpacing/>
        <w:jc w:val="both"/>
        <w:rPr>
          <w:b/>
          <w:bCs/>
          <w:sz w:val="32"/>
        </w:rPr>
      </w:pPr>
    </w:p>
    <w:p w14:paraId="0C76BE95" w14:textId="076D0B1C" w:rsidR="00B139F3" w:rsidRDefault="002328D7" w:rsidP="00240A4D">
      <w:pPr>
        <w:contextualSpacing/>
        <w:jc w:val="both"/>
        <w:rPr>
          <w:b/>
          <w:bCs/>
          <w:sz w:val="32"/>
        </w:rPr>
      </w:pPr>
      <w:r>
        <w:rPr>
          <w:b/>
          <w:bCs/>
          <w:sz w:val="32"/>
        </w:rPr>
        <w:t xml:space="preserve">Question 21: </w:t>
      </w:r>
      <w:r w:rsidR="00B139F3" w:rsidRPr="003C6009">
        <w:rPr>
          <w:b/>
          <w:bCs/>
          <w:sz w:val="32"/>
        </w:rPr>
        <w:t xml:space="preserve">Are there other amendments to the Disability Discrimination Act that could support engagement between prospective or current employers and prospective or </w:t>
      </w:r>
      <w:r w:rsidR="00B139F3" w:rsidRPr="003C6009">
        <w:rPr>
          <w:b/>
          <w:bCs/>
          <w:sz w:val="32"/>
        </w:rPr>
        <w:lastRenderedPageBreak/>
        <w:t xml:space="preserve">current employees to better understand the inherent requirements of a job? </w:t>
      </w:r>
    </w:p>
    <w:p w14:paraId="2E8A7ED3" w14:textId="77777777" w:rsidR="002328D7" w:rsidRDefault="002328D7" w:rsidP="00240A4D">
      <w:pPr>
        <w:contextualSpacing/>
        <w:jc w:val="both"/>
        <w:rPr>
          <w:b/>
          <w:bCs/>
          <w:sz w:val="32"/>
        </w:rPr>
      </w:pPr>
    </w:p>
    <w:p w14:paraId="398EA7AB" w14:textId="2459A282" w:rsidR="00DE5E2C" w:rsidRPr="003C6009" w:rsidRDefault="002328D7" w:rsidP="00240A4D">
      <w:pPr>
        <w:contextualSpacing/>
        <w:jc w:val="both"/>
        <w:rPr>
          <w:b/>
          <w:bCs/>
          <w:sz w:val="32"/>
        </w:rPr>
      </w:pPr>
      <w:r>
        <w:rPr>
          <w:b/>
          <w:bCs/>
          <w:sz w:val="32"/>
        </w:rPr>
        <w:t xml:space="preserve">Question 22: </w:t>
      </w:r>
      <w:r w:rsidR="00B139F3" w:rsidRPr="003C6009">
        <w:rPr>
          <w:b/>
          <w:bCs/>
          <w:sz w:val="32"/>
        </w:rPr>
        <w:t>Should any other amendments be made to the definition of inherent requirements, including factors that should be considered when deciding whether a person could carry out the inherent requirements of a job?</w:t>
      </w:r>
    </w:p>
    <w:p w14:paraId="499DC4D0" w14:textId="77777777" w:rsidR="003C6009" w:rsidRDefault="003C6009" w:rsidP="00240A4D">
      <w:pPr>
        <w:contextualSpacing/>
        <w:jc w:val="both"/>
      </w:pPr>
    </w:p>
    <w:p w14:paraId="784794E1" w14:textId="33746754" w:rsidR="00B139F3" w:rsidRPr="00AA1E9F" w:rsidRDefault="00670F8A" w:rsidP="00240A4D">
      <w:pPr>
        <w:contextualSpacing/>
        <w:jc w:val="both"/>
      </w:pPr>
      <w:r w:rsidRPr="00AA1E9F">
        <w:t xml:space="preserve">Unemployment is one of the </w:t>
      </w:r>
      <w:r w:rsidR="001500E8" w:rsidRPr="00AA1E9F">
        <w:t xml:space="preserve">biggest and </w:t>
      </w:r>
      <w:r w:rsidR="0022408E">
        <w:t xml:space="preserve">most </w:t>
      </w:r>
      <w:r w:rsidR="001500E8" w:rsidRPr="00AA1E9F">
        <w:t xml:space="preserve">intractable barriers facing people who are blind or have low vision. Only 24% of </w:t>
      </w:r>
      <w:r w:rsidR="004442E1" w:rsidRPr="00AA1E9F">
        <w:t xml:space="preserve">people who are blind or have low vision are in full-time employment, and </w:t>
      </w:r>
      <w:r w:rsidR="00694A01" w:rsidRPr="00AA1E9F">
        <w:t>overall,</w:t>
      </w:r>
      <w:r w:rsidR="004442E1" w:rsidRPr="00AA1E9F">
        <w:t xml:space="preserve"> the unemployment rate </w:t>
      </w:r>
      <w:r w:rsidR="00A518AA" w:rsidRPr="00AA1E9F">
        <w:t xml:space="preserve">in the blind and low vision community </w:t>
      </w:r>
      <w:r w:rsidR="004442E1" w:rsidRPr="00AA1E9F">
        <w:t>is over 50%</w:t>
      </w:r>
      <w:r w:rsidR="006069A9" w:rsidRPr="00AA1E9F">
        <w:rPr>
          <w:rStyle w:val="FootnoteReference"/>
        </w:rPr>
        <w:footnoteReference w:id="2"/>
      </w:r>
    </w:p>
    <w:p w14:paraId="162D09E5" w14:textId="77777777" w:rsidR="00A518AA" w:rsidRPr="00AA1E9F" w:rsidRDefault="00A518AA" w:rsidP="00240A4D">
      <w:pPr>
        <w:contextualSpacing/>
        <w:jc w:val="both"/>
      </w:pPr>
    </w:p>
    <w:p w14:paraId="55DF7646" w14:textId="3881BE5D" w:rsidR="00A518AA" w:rsidRPr="00AA1E9F" w:rsidRDefault="00A518AA" w:rsidP="00240A4D">
      <w:pPr>
        <w:contextualSpacing/>
        <w:jc w:val="both"/>
      </w:pPr>
      <w:r w:rsidRPr="00AA1E9F">
        <w:t>While there are many factors that account for these alarming stat</w:t>
      </w:r>
      <w:r w:rsidR="00BB7EE2" w:rsidRPr="00AA1E9F">
        <w:t xml:space="preserve">istics, one of the most frustrating is the misunderstanding, confusion and complexity </w:t>
      </w:r>
      <w:r w:rsidR="00E432D6" w:rsidRPr="00AA1E9F">
        <w:t>surrounding the concept of inherent requirements. We would go so far</w:t>
      </w:r>
      <w:r w:rsidR="00864575" w:rsidRPr="00AA1E9F">
        <w:t xml:space="preserve"> </w:t>
      </w:r>
      <w:r w:rsidR="00E432D6" w:rsidRPr="00AA1E9F">
        <w:t xml:space="preserve">as to say that </w:t>
      </w:r>
      <w:r w:rsidR="00821C0D" w:rsidRPr="00AA1E9F">
        <w:t>the inherent requirements ex</w:t>
      </w:r>
      <w:r w:rsidR="00254E7E" w:rsidRPr="00AA1E9F">
        <w:t>ce</w:t>
      </w:r>
      <w:r w:rsidR="00821C0D" w:rsidRPr="00AA1E9F">
        <w:t>ption in the DDA has be</w:t>
      </w:r>
      <w:r w:rsidR="000A3B99" w:rsidRPr="00AA1E9F">
        <w:t>come broken, and is hence in urgent need of reform.</w:t>
      </w:r>
    </w:p>
    <w:p w14:paraId="198C0C99" w14:textId="77777777" w:rsidR="000A3B99" w:rsidRPr="00AA1E9F" w:rsidRDefault="000A3B99" w:rsidP="00240A4D">
      <w:pPr>
        <w:contextualSpacing/>
        <w:jc w:val="both"/>
      </w:pPr>
    </w:p>
    <w:p w14:paraId="70B97B59" w14:textId="77777777" w:rsidR="00EE2E1B" w:rsidRPr="00AA1E9F" w:rsidRDefault="000A3B99" w:rsidP="00240A4D">
      <w:pPr>
        <w:contextualSpacing/>
        <w:jc w:val="both"/>
      </w:pPr>
      <w:r w:rsidRPr="00AA1E9F">
        <w:t xml:space="preserve">We strongly support the </w:t>
      </w:r>
      <w:r w:rsidR="00983FCB" w:rsidRPr="00AA1E9F">
        <w:t>DRC’s</w:t>
      </w:r>
      <w:r w:rsidR="00961FB5" w:rsidRPr="00AA1E9F">
        <w:t xml:space="preserve"> recommendation to</w:t>
      </w:r>
      <w:r w:rsidR="00A10BD8" w:rsidRPr="00AA1E9F">
        <w:t xml:space="preserve"> amend the DDA to </w:t>
      </w:r>
      <w:r w:rsidR="00D57437" w:rsidRPr="00AA1E9F">
        <w:t xml:space="preserve">consider the nature and extent of any adjustment made, and to </w:t>
      </w:r>
      <w:r w:rsidR="00F24447" w:rsidRPr="00AA1E9F">
        <w:t>encourage</w:t>
      </w:r>
      <w:r w:rsidR="00D57437" w:rsidRPr="00AA1E9F">
        <w:t xml:space="preserve"> consultation between current and prospective employers and employees.</w:t>
      </w:r>
    </w:p>
    <w:p w14:paraId="100FEB50" w14:textId="77777777" w:rsidR="00EE2E1B" w:rsidRPr="00AA1E9F" w:rsidRDefault="00EE2E1B" w:rsidP="00240A4D">
      <w:pPr>
        <w:contextualSpacing/>
        <w:jc w:val="both"/>
      </w:pPr>
    </w:p>
    <w:p w14:paraId="29A0CFA6" w14:textId="4276ACED" w:rsidR="000A3B99" w:rsidRPr="00AA1E9F" w:rsidRDefault="00EE2E1B" w:rsidP="00240A4D">
      <w:pPr>
        <w:contextualSpacing/>
        <w:jc w:val="both"/>
      </w:pPr>
      <w:r w:rsidRPr="00AA1E9F">
        <w:t>We recogni</w:t>
      </w:r>
      <w:r w:rsidR="00D315D8">
        <w:t>s</w:t>
      </w:r>
      <w:r w:rsidRPr="00AA1E9F">
        <w:t>e the</w:t>
      </w:r>
      <w:r w:rsidR="00972312" w:rsidRPr="00AA1E9F">
        <w:t xml:space="preserve"> sensitivi</w:t>
      </w:r>
      <w:r w:rsidR="00496795" w:rsidRPr="00AA1E9F">
        <w:t>ti</w:t>
      </w:r>
      <w:r w:rsidR="00972312" w:rsidRPr="00AA1E9F">
        <w:t>es and dilemmas around disc</w:t>
      </w:r>
      <w:r w:rsidR="001A3838" w:rsidRPr="00AA1E9F">
        <w:t xml:space="preserve">losure of personal, disability-related information, as it is a topic that is raised with us frequently </w:t>
      </w:r>
      <w:r w:rsidR="0022408E">
        <w:t>b</w:t>
      </w:r>
      <w:r w:rsidR="001A3838" w:rsidRPr="00AA1E9F">
        <w:t>y clients</w:t>
      </w:r>
      <w:r w:rsidR="009B2DE2" w:rsidRPr="00AA1E9F">
        <w:t xml:space="preserve">, especially in the </w:t>
      </w:r>
      <w:r w:rsidR="00EC51DD" w:rsidRPr="00AA1E9F">
        <w:t>c</w:t>
      </w:r>
      <w:r w:rsidR="009B2DE2" w:rsidRPr="00AA1E9F">
        <w:t>ontexts of employment and education.</w:t>
      </w:r>
      <w:r w:rsidR="00961FB5" w:rsidRPr="00AA1E9F">
        <w:t xml:space="preserve"> </w:t>
      </w:r>
      <w:r w:rsidR="002511AB" w:rsidRPr="00AA1E9F">
        <w:t>Prospective employees may be reluctant to disclose their disability prior to or during, a job interview</w:t>
      </w:r>
      <w:r w:rsidR="00443E2E" w:rsidRPr="00AA1E9F">
        <w:t xml:space="preserve"> because </w:t>
      </w:r>
      <w:r w:rsidR="008C7D5A">
        <w:t xml:space="preserve">if they are denied the job </w:t>
      </w:r>
      <w:r w:rsidR="00443E2E" w:rsidRPr="00AA1E9F">
        <w:t>they wi</w:t>
      </w:r>
      <w:r w:rsidR="00C46BCF" w:rsidRPr="00AA1E9F">
        <w:t xml:space="preserve">ll find it very difficult to prove </w:t>
      </w:r>
      <w:r w:rsidR="00406317">
        <w:t>that it was because of their</w:t>
      </w:r>
      <w:r w:rsidR="00C46BCF" w:rsidRPr="00AA1E9F">
        <w:t xml:space="preserve"> </w:t>
      </w:r>
      <w:r w:rsidR="00464217" w:rsidRPr="00AA1E9F">
        <w:t>disability.</w:t>
      </w:r>
    </w:p>
    <w:p w14:paraId="0B6E7CE2" w14:textId="77777777" w:rsidR="00464217" w:rsidRPr="00AA1E9F" w:rsidRDefault="00464217" w:rsidP="00240A4D">
      <w:pPr>
        <w:contextualSpacing/>
        <w:jc w:val="both"/>
      </w:pPr>
    </w:p>
    <w:p w14:paraId="2405D769" w14:textId="32C5C0CC" w:rsidR="000667D2" w:rsidRPr="00AA1E9F" w:rsidRDefault="000667D2" w:rsidP="00240A4D">
      <w:pPr>
        <w:contextualSpacing/>
        <w:jc w:val="both"/>
      </w:pPr>
      <w:r w:rsidRPr="00AA1E9F">
        <w:t xml:space="preserve">Another factor that influences disclosure is </w:t>
      </w:r>
      <w:r w:rsidR="00981773" w:rsidRPr="00AA1E9F">
        <w:t xml:space="preserve">lack of knowledge of the inherent </w:t>
      </w:r>
      <w:r w:rsidR="001C3847" w:rsidRPr="00AA1E9F">
        <w:t>re</w:t>
      </w:r>
      <w:r w:rsidR="00981773" w:rsidRPr="00AA1E9F">
        <w:t xml:space="preserve">quirements. People who are blind or have low vision may not know what they will need </w:t>
      </w:r>
      <w:r w:rsidR="0030657F" w:rsidRPr="00AA1E9F">
        <w:t>by way</w:t>
      </w:r>
      <w:r w:rsidR="00981773" w:rsidRPr="00AA1E9F">
        <w:t xml:space="preserve"> of adjustment</w:t>
      </w:r>
      <w:r w:rsidR="00A9070F" w:rsidRPr="00AA1E9F">
        <w:t>s</w:t>
      </w:r>
      <w:r w:rsidR="00981773" w:rsidRPr="00AA1E9F">
        <w:t xml:space="preserve"> because pros</w:t>
      </w:r>
      <w:r w:rsidR="00135BEB" w:rsidRPr="00AA1E9F">
        <w:t xml:space="preserve">pective employers are not required to publicise the inherent requirements of a job. A person may believe that they will not need any adjustments and </w:t>
      </w:r>
      <w:r w:rsidR="00C27910" w:rsidRPr="00AA1E9F">
        <w:t>conclude that there is therefore no need to disclose their disability, only to find later, when they become more familiar with the inherent requirements of the job, that they do need adjustments.</w:t>
      </w:r>
      <w:r w:rsidR="00FA3EE4" w:rsidRPr="00AA1E9F">
        <w:t xml:space="preserve"> Or they may assume that the employer’s computer systems </w:t>
      </w:r>
      <w:r w:rsidR="00BB6901" w:rsidRPr="00AA1E9F">
        <w:t>are</w:t>
      </w:r>
      <w:r w:rsidR="00FA3EE4" w:rsidRPr="00AA1E9F">
        <w:t xml:space="preserve"> compatible with their screen-reading </w:t>
      </w:r>
      <w:r w:rsidR="00445D63" w:rsidRPr="00AA1E9F">
        <w:t xml:space="preserve">or screen-magnification </w:t>
      </w:r>
      <w:r w:rsidR="00FA3EE4" w:rsidRPr="00AA1E9F">
        <w:t>software but dis</w:t>
      </w:r>
      <w:r w:rsidR="00BB6901" w:rsidRPr="00AA1E9F">
        <w:t xml:space="preserve">cover </w:t>
      </w:r>
      <w:r w:rsidR="00445D63" w:rsidRPr="00AA1E9F">
        <w:t xml:space="preserve">later that </w:t>
      </w:r>
      <w:r w:rsidR="00BB6901" w:rsidRPr="00AA1E9F">
        <w:t>they are not.</w:t>
      </w:r>
    </w:p>
    <w:p w14:paraId="3E3E473E" w14:textId="77777777" w:rsidR="00A556E1" w:rsidRPr="00AA1E9F" w:rsidRDefault="00A556E1" w:rsidP="00240A4D">
      <w:pPr>
        <w:contextualSpacing/>
        <w:jc w:val="both"/>
      </w:pPr>
    </w:p>
    <w:p w14:paraId="770F63B5" w14:textId="541BC5F9" w:rsidR="00464217" w:rsidRPr="00AA1E9F" w:rsidRDefault="00464217" w:rsidP="00240A4D">
      <w:pPr>
        <w:contextualSpacing/>
        <w:jc w:val="both"/>
      </w:pPr>
      <w:r w:rsidRPr="00AA1E9F">
        <w:t xml:space="preserve">We think that the cumulative effect of amendments to the DDA </w:t>
      </w:r>
      <w:r w:rsidR="008C27C5" w:rsidRPr="00AA1E9F">
        <w:t xml:space="preserve">dealing with shifting the burden of proof and </w:t>
      </w:r>
      <w:r w:rsidR="00E25AEE" w:rsidRPr="00AA1E9F">
        <w:t xml:space="preserve">creating positive duty obligations </w:t>
      </w:r>
      <w:r w:rsidRPr="00AA1E9F">
        <w:t xml:space="preserve">would help to </w:t>
      </w:r>
      <w:r w:rsidR="00A91E6E" w:rsidRPr="00AA1E9F">
        <w:t>al</w:t>
      </w:r>
      <w:r w:rsidR="00A91E6E">
        <w:t>l</w:t>
      </w:r>
      <w:r w:rsidR="00A91E6E" w:rsidRPr="00AA1E9F">
        <w:t>ay</w:t>
      </w:r>
      <w:r w:rsidRPr="00AA1E9F">
        <w:t xml:space="preserve"> these concer</w:t>
      </w:r>
      <w:r w:rsidR="004642EB" w:rsidRPr="00AA1E9F">
        <w:t>ns and encourage more open conversations about</w:t>
      </w:r>
      <w:r w:rsidR="00B808D8" w:rsidRPr="00AA1E9F">
        <w:t xml:space="preserve"> inherent requirements. We also beli</w:t>
      </w:r>
      <w:r w:rsidR="000E7130" w:rsidRPr="00AA1E9F">
        <w:t xml:space="preserve">eve that employers should have more encouragement to </w:t>
      </w:r>
      <w:r w:rsidR="005C053A" w:rsidRPr="00AA1E9F">
        <w:t>identify and publicise the inhere</w:t>
      </w:r>
      <w:r w:rsidR="00413DD4" w:rsidRPr="00AA1E9F">
        <w:t>n</w:t>
      </w:r>
      <w:r w:rsidR="005C053A" w:rsidRPr="00AA1E9F">
        <w:t>t requirements of any job they advertise</w:t>
      </w:r>
      <w:r w:rsidR="008A60F1" w:rsidRPr="00AA1E9F">
        <w:t>. This could be done as part of guidance material developed to support the positive duty obligation</w:t>
      </w:r>
      <w:r w:rsidR="005064FF" w:rsidRPr="00AA1E9F">
        <w:t>.</w:t>
      </w:r>
    </w:p>
    <w:p w14:paraId="29BA9A41" w14:textId="77777777" w:rsidR="005064FF" w:rsidRPr="00AA1E9F" w:rsidRDefault="005064FF" w:rsidP="00240A4D">
      <w:pPr>
        <w:contextualSpacing/>
        <w:jc w:val="both"/>
      </w:pPr>
    </w:p>
    <w:p w14:paraId="754183CB" w14:textId="30025B5E" w:rsidR="00D73D0B" w:rsidRDefault="00393C1D" w:rsidP="00240A4D">
      <w:pPr>
        <w:contextualSpacing/>
        <w:jc w:val="both"/>
      </w:pPr>
      <w:r w:rsidRPr="00AA1E9F">
        <w:t>It is also important that any references to consultation</w:t>
      </w:r>
      <w:r w:rsidR="00A14D93" w:rsidRPr="00AA1E9F">
        <w:t xml:space="preserve"> with a person with a disability also allow for consultation with a person’s </w:t>
      </w:r>
      <w:r w:rsidR="00345CF6" w:rsidRPr="00AA1E9F">
        <w:t>representative. Vision Australia and other organ</w:t>
      </w:r>
      <w:r w:rsidR="00D92E15" w:rsidRPr="00AA1E9F">
        <w:t>i</w:t>
      </w:r>
      <w:r w:rsidR="00345CF6" w:rsidRPr="00AA1E9F">
        <w:t xml:space="preserve">sations have professional expertise in assessing workplaces and are often able to identify </w:t>
      </w:r>
      <w:r w:rsidR="002F7E68" w:rsidRPr="00AA1E9F">
        <w:t>issues and solutions th</w:t>
      </w:r>
      <w:r w:rsidR="00A60454">
        <w:t>at</w:t>
      </w:r>
      <w:r w:rsidR="002F7E68" w:rsidRPr="00AA1E9F">
        <w:t xml:space="preserve"> may not be apparent to the person themselves.</w:t>
      </w:r>
    </w:p>
    <w:p w14:paraId="0E3337AA" w14:textId="77777777" w:rsidR="00240A4D" w:rsidRPr="003C6009" w:rsidRDefault="00240A4D" w:rsidP="00240A4D">
      <w:pPr>
        <w:contextualSpacing/>
        <w:jc w:val="both"/>
      </w:pPr>
    </w:p>
    <w:p w14:paraId="0CB73479" w14:textId="4A4EC2D6" w:rsidR="00A737BA" w:rsidRDefault="002A7DF3" w:rsidP="00240A4D">
      <w:pPr>
        <w:pStyle w:val="Heading2"/>
        <w:spacing w:before="0" w:after="0"/>
        <w:contextualSpacing/>
        <w:jc w:val="both"/>
        <w:rPr>
          <w:sz w:val="32"/>
          <w:szCs w:val="32"/>
          <w:lang w:val="en-AU"/>
        </w:rPr>
      </w:pPr>
      <w:r>
        <w:rPr>
          <w:sz w:val="32"/>
          <w:szCs w:val="32"/>
          <w:lang w:val="en-AU"/>
        </w:rPr>
        <w:t xml:space="preserve">Question 23: </w:t>
      </w:r>
      <w:r w:rsidR="00A737BA" w:rsidRPr="003C6009">
        <w:rPr>
          <w:sz w:val="32"/>
          <w:szCs w:val="32"/>
          <w:lang w:val="en-AU"/>
        </w:rPr>
        <w:t xml:space="preserve">Should the concepts of exclusion and exclusionary discipline be defined in the Disability Discrimination Act? </w:t>
      </w:r>
    </w:p>
    <w:p w14:paraId="24FFAE9B" w14:textId="77777777" w:rsidR="00240A4D" w:rsidRPr="00240A4D" w:rsidRDefault="00240A4D" w:rsidP="00240A4D"/>
    <w:p w14:paraId="6B64C199" w14:textId="5096E9BF" w:rsidR="00A737BA" w:rsidRDefault="002A7DF3" w:rsidP="00240A4D">
      <w:pPr>
        <w:pStyle w:val="Heading2"/>
        <w:spacing w:before="0" w:after="0"/>
        <w:contextualSpacing/>
        <w:jc w:val="both"/>
        <w:rPr>
          <w:sz w:val="32"/>
          <w:szCs w:val="32"/>
          <w:lang w:val="en-AU"/>
        </w:rPr>
      </w:pPr>
      <w:r>
        <w:rPr>
          <w:sz w:val="32"/>
          <w:szCs w:val="32"/>
          <w:lang w:val="en-AU"/>
        </w:rPr>
        <w:t xml:space="preserve">Question 24: </w:t>
      </w:r>
      <w:r w:rsidR="00A737BA" w:rsidRPr="003C6009">
        <w:rPr>
          <w:sz w:val="32"/>
          <w:szCs w:val="32"/>
          <w:lang w:val="en-AU"/>
        </w:rPr>
        <w:t xml:space="preserve">Should there be exceptions or limits on when exclusion is unlawful? </w:t>
      </w:r>
    </w:p>
    <w:p w14:paraId="6EDAE4D8" w14:textId="77777777" w:rsidR="00240A4D" w:rsidRPr="00240A4D" w:rsidRDefault="00240A4D" w:rsidP="00240A4D"/>
    <w:p w14:paraId="7D9D2E2E" w14:textId="1C60394D" w:rsidR="00A737BA" w:rsidRDefault="002A7DF3" w:rsidP="00240A4D">
      <w:pPr>
        <w:pStyle w:val="Heading2"/>
        <w:spacing w:before="0" w:after="0"/>
        <w:contextualSpacing/>
        <w:jc w:val="both"/>
        <w:rPr>
          <w:sz w:val="32"/>
          <w:szCs w:val="32"/>
          <w:lang w:val="en-AU"/>
        </w:rPr>
      </w:pPr>
      <w:r>
        <w:rPr>
          <w:sz w:val="32"/>
          <w:szCs w:val="32"/>
          <w:lang w:val="en-AU"/>
        </w:rPr>
        <w:t xml:space="preserve">Question 25: </w:t>
      </w:r>
      <w:r w:rsidR="00A737BA" w:rsidRPr="003C6009">
        <w:rPr>
          <w:sz w:val="32"/>
          <w:szCs w:val="32"/>
          <w:lang w:val="en-AU"/>
        </w:rPr>
        <w:t xml:space="preserve">Should any of the state and territory provisions relating to exclusionary discipline be adopted in the Disability Discrimination Act? </w:t>
      </w:r>
    </w:p>
    <w:p w14:paraId="749EDB0F" w14:textId="77777777" w:rsidR="00240A4D" w:rsidRPr="00240A4D" w:rsidRDefault="00240A4D" w:rsidP="00240A4D"/>
    <w:p w14:paraId="144E1511" w14:textId="78499336" w:rsidR="00D73D0B" w:rsidRPr="003C6009" w:rsidRDefault="002A7DF3" w:rsidP="00240A4D">
      <w:pPr>
        <w:pStyle w:val="Heading2"/>
        <w:spacing w:before="0" w:after="0"/>
        <w:contextualSpacing/>
        <w:jc w:val="both"/>
        <w:rPr>
          <w:sz w:val="32"/>
          <w:szCs w:val="32"/>
          <w:lang w:val="en-AU"/>
        </w:rPr>
      </w:pPr>
      <w:r>
        <w:rPr>
          <w:sz w:val="32"/>
          <w:szCs w:val="32"/>
          <w:lang w:val="en-AU"/>
        </w:rPr>
        <w:t xml:space="preserve">Question 26: </w:t>
      </w:r>
      <w:r w:rsidR="00A737BA" w:rsidRPr="003C6009">
        <w:rPr>
          <w:sz w:val="32"/>
          <w:szCs w:val="32"/>
          <w:lang w:val="en-AU"/>
        </w:rPr>
        <w:t>Would a different approach to exclusionary discipline be more appropriate in the higher education and vocational education and</w:t>
      </w:r>
      <w:r w:rsidR="003C6009" w:rsidRPr="003C6009">
        <w:rPr>
          <w:sz w:val="32"/>
          <w:szCs w:val="32"/>
          <w:lang w:val="en-AU"/>
        </w:rPr>
        <w:t xml:space="preserve"> </w:t>
      </w:r>
      <w:r w:rsidR="00A737BA" w:rsidRPr="003C6009">
        <w:rPr>
          <w:sz w:val="32"/>
          <w:szCs w:val="32"/>
          <w:lang w:val="en-AU"/>
        </w:rPr>
        <w:t>training sectors?</w:t>
      </w:r>
    </w:p>
    <w:p w14:paraId="5B1BCB98" w14:textId="77777777" w:rsidR="00A737BA" w:rsidRPr="00AA1E9F" w:rsidRDefault="00A737BA" w:rsidP="00240A4D">
      <w:pPr>
        <w:contextualSpacing/>
        <w:jc w:val="both"/>
      </w:pPr>
    </w:p>
    <w:p w14:paraId="42AF1B99" w14:textId="59CAC693" w:rsidR="00A737BA" w:rsidRDefault="00ED2A46" w:rsidP="00240A4D">
      <w:pPr>
        <w:contextualSpacing/>
        <w:jc w:val="both"/>
      </w:pPr>
      <w:r w:rsidRPr="00AA1E9F">
        <w:t xml:space="preserve">Vision Australia </w:t>
      </w:r>
      <w:r w:rsidR="00A177C8" w:rsidRPr="00AA1E9F">
        <w:t>is not provid</w:t>
      </w:r>
      <w:r w:rsidR="006D6B7F" w:rsidRPr="00AA1E9F">
        <w:t>ing</w:t>
      </w:r>
      <w:r w:rsidR="00A177C8" w:rsidRPr="00AA1E9F">
        <w:t xml:space="preserve"> comment on these questions since the topic is outside the scope of our experience and expertise.</w:t>
      </w:r>
    </w:p>
    <w:p w14:paraId="6F44DC11" w14:textId="77777777" w:rsidR="00240A4D" w:rsidRPr="00AA1E9F" w:rsidRDefault="00240A4D" w:rsidP="00240A4D">
      <w:pPr>
        <w:contextualSpacing/>
        <w:jc w:val="both"/>
      </w:pPr>
    </w:p>
    <w:p w14:paraId="6EB804E3" w14:textId="620F324B" w:rsidR="003C6009" w:rsidRDefault="002A7DF3" w:rsidP="00240A4D">
      <w:pPr>
        <w:pStyle w:val="Heading2"/>
        <w:spacing w:before="0" w:after="0"/>
        <w:contextualSpacing/>
        <w:jc w:val="both"/>
        <w:rPr>
          <w:sz w:val="32"/>
          <w:szCs w:val="32"/>
          <w:lang w:val="en-AU"/>
        </w:rPr>
      </w:pPr>
      <w:r>
        <w:rPr>
          <w:sz w:val="32"/>
          <w:szCs w:val="32"/>
          <w:lang w:val="en-AU"/>
        </w:rPr>
        <w:t xml:space="preserve">Question 27: </w:t>
      </w:r>
      <w:r w:rsidR="001E33E4" w:rsidRPr="003C6009">
        <w:rPr>
          <w:sz w:val="32"/>
          <w:szCs w:val="32"/>
          <w:lang w:val="en-AU"/>
        </w:rPr>
        <w:t xml:space="preserve">How could the Disability Discrimination Act be amended to protect people with disability from offensive behaviour and/ or harassment? </w:t>
      </w:r>
    </w:p>
    <w:p w14:paraId="13E6AB81" w14:textId="77777777" w:rsidR="00240A4D" w:rsidRPr="00240A4D" w:rsidRDefault="00240A4D" w:rsidP="00240A4D"/>
    <w:p w14:paraId="4837C4F8" w14:textId="6C784586" w:rsidR="001E33E4" w:rsidRDefault="002A7DF3" w:rsidP="00240A4D">
      <w:pPr>
        <w:pStyle w:val="Heading2"/>
        <w:spacing w:before="0" w:after="0"/>
        <w:contextualSpacing/>
        <w:jc w:val="both"/>
        <w:rPr>
          <w:sz w:val="32"/>
          <w:szCs w:val="32"/>
          <w:lang w:val="en-AU"/>
        </w:rPr>
      </w:pPr>
      <w:r>
        <w:rPr>
          <w:sz w:val="32"/>
          <w:szCs w:val="32"/>
          <w:lang w:val="en-AU"/>
        </w:rPr>
        <w:t xml:space="preserve">Question 28: </w:t>
      </w:r>
      <w:r w:rsidR="001E33E4" w:rsidRPr="003C6009">
        <w:rPr>
          <w:sz w:val="32"/>
          <w:szCs w:val="32"/>
          <w:lang w:val="en-AU"/>
        </w:rPr>
        <w:t xml:space="preserve">If the Disability Discrimination Act were to prohibit offensive behaviour and/ or harassment, how should these terms be defined? </w:t>
      </w:r>
    </w:p>
    <w:p w14:paraId="3C0AFAF4" w14:textId="77777777" w:rsidR="00240A4D" w:rsidRPr="00240A4D" w:rsidRDefault="00240A4D" w:rsidP="00240A4D"/>
    <w:p w14:paraId="1E8C4965" w14:textId="55F101EB" w:rsidR="001E33E4" w:rsidRDefault="002A7DF3" w:rsidP="00240A4D">
      <w:pPr>
        <w:pStyle w:val="Heading2"/>
        <w:spacing w:before="0" w:after="0"/>
        <w:contextualSpacing/>
        <w:jc w:val="both"/>
        <w:rPr>
          <w:sz w:val="32"/>
          <w:szCs w:val="32"/>
          <w:lang w:val="en-AU"/>
        </w:rPr>
      </w:pPr>
      <w:r>
        <w:rPr>
          <w:sz w:val="32"/>
          <w:szCs w:val="32"/>
          <w:lang w:val="en-AU"/>
        </w:rPr>
        <w:t xml:space="preserve">Question 29: </w:t>
      </w:r>
      <w:r w:rsidR="001E33E4" w:rsidRPr="003C6009">
        <w:rPr>
          <w:sz w:val="32"/>
          <w:szCs w:val="32"/>
          <w:lang w:val="en-AU"/>
        </w:rPr>
        <w:t xml:space="preserve">Should there be exemptions for any behaviour, similar to the Racial Discrimination Act? </w:t>
      </w:r>
    </w:p>
    <w:p w14:paraId="1701EC3B" w14:textId="77777777" w:rsidR="00240A4D" w:rsidRDefault="00240A4D" w:rsidP="00240A4D"/>
    <w:p w14:paraId="1A9E1509" w14:textId="238EA226" w:rsidR="00FB660D" w:rsidRPr="003C6009" w:rsidRDefault="002A7DF3" w:rsidP="00240A4D">
      <w:pPr>
        <w:pStyle w:val="Heading2"/>
        <w:spacing w:before="0" w:after="0"/>
        <w:contextualSpacing/>
        <w:jc w:val="both"/>
        <w:rPr>
          <w:sz w:val="32"/>
          <w:szCs w:val="32"/>
          <w:lang w:val="en-AU"/>
        </w:rPr>
      </w:pPr>
      <w:r>
        <w:rPr>
          <w:sz w:val="32"/>
          <w:szCs w:val="32"/>
          <w:lang w:val="en-AU"/>
        </w:rPr>
        <w:t xml:space="preserve">Question 30: </w:t>
      </w:r>
      <w:r w:rsidR="001E33E4" w:rsidRPr="003C6009">
        <w:rPr>
          <w:sz w:val="32"/>
          <w:szCs w:val="32"/>
          <w:lang w:val="en-AU"/>
        </w:rPr>
        <w:t>Given the recent legislative developments, are there any further gaps in the legislative framework that could be addressed by amendments to the Disability Discrimination Act to protect people with disability from vilification?</w:t>
      </w:r>
    </w:p>
    <w:p w14:paraId="77852ABE" w14:textId="77777777" w:rsidR="008C57A9" w:rsidRPr="00AA1E9F" w:rsidRDefault="008C57A9" w:rsidP="00240A4D">
      <w:pPr>
        <w:contextualSpacing/>
        <w:jc w:val="both"/>
      </w:pPr>
    </w:p>
    <w:p w14:paraId="0C4E5041" w14:textId="77777777" w:rsidR="00B348CF" w:rsidRDefault="00C643CC" w:rsidP="00B348CF">
      <w:pPr>
        <w:spacing w:before="240"/>
        <w:jc w:val="both"/>
      </w:pPr>
      <w:r w:rsidRPr="00AA1E9F">
        <w:lastRenderedPageBreak/>
        <w:t xml:space="preserve">Our experience with </w:t>
      </w:r>
      <w:r w:rsidR="005E5EFE" w:rsidRPr="00AA1E9F">
        <w:t xml:space="preserve">instances of </w:t>
      </w:r>
      <w:r w:rsidRPr="00AA1E9F">
        <w:t>harassment and vilification</w:t>
      </w:r>
      <w:r w:rsidR="00D941B4" w:rsidRPr="00AA1E9F">
        <w:t xml:space="preserve"> is somewhat limited </w:t>
      </w:r>
      <w:r w:rsidR="00AA7147">
        <w:t>wh</w:t>
      </w:r>
      <w:r w:rsidR="00D941B4" w:rsidRPr="00AA1E9F">
        <w:t>ic</w:t>
      </w:r>
      <w:r w:rsidR="003A5702">
        <w:t>h</w:t>
      </w:r>
      <w:r w:rsidR="00D941B4" w:rsidRPr="00AA1E9F">
        <w:t xml:space="preserve"> </w:t>
      </w:r>
      <w:r w:rsidR="00973BC4">
        <w:t>may be because</w:t>
      </w:r>
      <w:r w:rsidR="00D941B4" w:rsidRPr="00AA1E9F">
        <w:t xml:space="preserve"> </w:t>
      </w:r>
      <w:r w:rsidR="00D866C5" w:rsidRPr="00AA1E9F">
        <w:t>people who are blind or have low vision do not appear to have been as affected as some other disability groups</w:t>
      </w:r>
      <w:r w:rsidR="000A5D40">
        <w:t xml:space="preserve"> or </w:t>
      </w:r>
      <w:r w:rsidR="00874850">
        <w:t xml:space="preserve">are </w:t>
      </w:r>
      <w:r w:rsidR="000A5D40">
        <w:t>less inclined to report it</w:t>
      </w:r>
      <w:r w:rsidR="00D866C5" w:rsidRPr="00AA1E9F">
        <w:t>. We are, however, observi</w:t>
      </w:r>
      <w:r w:rsidR="009E22F9" w:rsidRPr="00AA1E9F">
        <w:t>ng an increase</w:t>
      </w:r>
      <w:r w:rsidR="001F16E5" w:rsidRPr="00AA1E9F">
        <w:t xml:space="preserve"> in harassment and offensive behaviour</w:t>
      </w:r>
      <w:r w:rsidR="009E22F9" w:rsidRPr="00AA1E9F">
        <w:t xml:space="preserve">, particularly in employment </w:t>
      </w:r>
      <w:r w:rsidR="00CD6252" w:rsidRPr="00AA1E9F">
        <w:t xml:space="preserve">and education </w:t>
      </w:r>
      <w:r w:rsidR="009E22F9" w:rsidRPr="00AA1E9F">
        <w:t xml:space="preserve">contexts. </w:t>
      </w:r>
      <w:r w:rsidR="001935D3" w:rsidRPr="00AA1E9F">
        <w:t xml:space="preserve">The </w:t>
      </w:r>
      <w:r w:rsidR="00583D22" w:rsidRPr="00AA1E9F">
        <w:t xml:space="preserve">proliferation of online social media platforms has </w:t>
      </w:r>
      <w:r w:rsidR="00F52954" w:rsidRPr="00AA1E9F">
        <w:t>also led to an increase in harassment</w:t>
      </w:r>
      <w:r w:rsidR="002471AF" w:rsidRPr="00AA1E9F">
        <w:t xml:space="preserve"> and offensive behaviour</w:t>
      </w:r>
      <w:r w:rsidR="0092469E" w:rsidRPr="00AA1E9F">
        <w:t>.</w:t>
      </w:r>
      <w:r w:rsidR="00930B36">
        <w:t xml:space="preserve"> For example, we have </w:t>
      </w:r>
      <w:r w:rsidR="007504AA">
        <w:t>recently</w:t>
      </w:r>
      <w:r w:rsidR="00930B36">
        <w:t xml:space="preserve"> become aware of a trend on </w:t>
      </w:r>
      <w:r w:rsidR="00B348CF">
        <w:t>TikTok</w:t>
      </w:r>
      <w:r w:rsidR="00930B36">
        <w:t xml:space="preserve"> called “Blindchalleng</w:t>
      </w:r>
      <w:r w:rsidR="003A20CF">
        <w:t>e</w:t>
      </w:r>
      <w:r w:rsidR="00930B36">
        <w:t>” or “Blindkidchallenge” where people without disability are encouraged to imitate or mock people w</w:t>
      </w:r>
      <w:r w:rsidR="0031530F">
        <w:t>h</w:t>
      </w:r>
      <w:r w:rsidR="00930B36">
        <w:t>o are blind. The idea is to provide entertainment</w:t>
      </w:r>
      <w:r w:rsidR="0017273B">
        <w:t>, win prizes,</w:t>
      </w:r>
      <w:r w:rsidR="00930B36">
        <w:t xml:space="preserve"> and increase audience views, and there is no thought given to how the videos produced </w:t>
      </w:r>
      <w:r w:rsidR="003C0054">
        <w:t>m</w:t>
      </w:r>
      <w:r w:rsidR="00C953CD">
        <w:t>ay offend the blind community.</w:t>
      </w:r>
      <w:r w:rsidR="000D0121">
        <w:rPr>
          <w:rStyle w:val="FootnoteReference"/>
        </w:rPr>
        <w:footnoteReference w:id="3"/>
      </w:r>
    </w:p>
    <w:p w14:paraId="24DC78BD" w14:textId="7E6C0C09" w:rsidR="0092469E" w:rsidRDefault="003C0054" w:rsidP="00B348CF">
      <w:pPr>
        <w:spacing w:before="240"/>
        <w:jc w:val="both"/>
      </w:pPr>
      <w:r>
        <w:t xml:space="preserve">As far as we know this trend has not yet spread to Australia from the UK and US, but given the global reach of platforms </w:t>
      </w:r>
      <w:r w:rsidR="007C1762">
        <w:t>like Tiktok it is only a matter of time.</w:t>
      </w:r>
      <w:r w:rsidR="009748B1">
        <w:t xml:space="preserve"> </w:t>
      </w:r>
      <w:r w:rsidR="00D274BA">
        <w:t>T</w:t>
      </w:r>
      <w:r w:rsidR="000E71BA">
        <w:t>here has already been a Ti</w:t>
      </w:r>
      <w:r w:rsidR="001068E8">
        <w:t>k</w:t>
      </w:r>
      <w:r w:rsidR="000E71BA">
        <w:t>to</w:t>
      </w:r>
      <w:r w:rsidR="001068E8">
        <w:t>k</w:t>
      </w:r>
      <w:r w:rsidR="000E71BA">
        <w:t xml:space="preserve"> trend in Australia where</w:t>
      </w:r>
      <w:r w:rsidR="003E1405">
        <w:t xml:space="preserve"> people were told to act like they had a physical disability.</w:t>
      </w:r>
      <w:r w:rsidR="000D386D">
        <w:rPr>
          <w:rStyle w:val="FootnoteReference"/>
        </w:rPr>
        <w:footnoteReference w:id="4"/>
      </w:r>
      <w:r w:rsidR="000E71BA">
        <w:t xml:space="preserve"> </w:t>
      </w:r>
    </w:p>
    <w:p w14:paraId="5C26C440" w14:textId="77777777" w:rsidR="00B348CF" w:rsidRPr="00AA1E9F" w:rsidRDefault="00B348CF" w:rsidP="00240A4D">
      <w:pPr>
        <w:contextualSpacing/>
        <w:jc w:val="both"/>
      </w:pPr>
    </w:p>
    <w:p w14:paraId="4F0DC530" w14:textId="2BCCE793" w:rsidR="0092469E" w:rsidRPr="00AA1E9F" w:rsidRDefault="0092469E" w:rsidP="00240A4D">
      <w:pPr>
        <w:contextualSpacing/>
        <w:jc w:val="both"/>
      </w:pPr>
      <w:r w:rsidRPr="00AA1E9F">
        <w:t>We there</w:t>
      </w:r>
      <w:r w:rsidR="00BC1E8A">
        <w:t>fore</w:t>
      </w:r>
      <w:r w:rsidRPr="00AA1E9F">
        <w:t xml:space="preserve"> strongly support </w:t>
      </w:r>
      <w:r w:rsidR="00266437" w:rsidRPr="00AA1E9F">
        <w:t xml:space="preserve">the DRC’s recommendation to </w:t>
      </w:r>
      <w:r w:rsidR="00C66D49" w:rsidRPr="00AA1E9F">
        <w:t xml:space="preserve">amend the DDA to include a general prohibition of offensive behaviour, modelled on S.18C of the Race Discrimination Act. </w:t>
      </w:r>
      <w:r w:rsidR="005B36BB" w:rsidRPr="00AA1E9F">
        <w:t>Given the extremely damaging impact that harassment and offensive behaviour can have on people with a disabil</w:t>
      </w:r>
      <w:r w:rsidR="00CB7314" w:rsidRPr="00AA1E9F">
        <w:t xml:space="preserve">ity, we think it is essential that </w:t>
      </w:r>
      <w:r w:rsidR="00D11584" w:rsidRPr="00AA1E9F">
        <w:t>a</w:t>
      </w:r>
      <w:r w:rsidR="004407AA" w:rsidRPr="00AA1E9F">
        <w:t xml:space="preserve">n effective </w:t>
      </w:r>
      <w:r w:rsidR="00D11584" w:rsidRPr="00AA1E9F">
        <w:t xml:space="preserve">mechanism for </w:t>
      </w:r>
      <w:r w:rsidR="00CC21AC" w:rsidRPr="00AA1E9F">
        <w:t xml:space="preserve">expediting the resolution of </w:t>
      </w:r>
      <w:r w:rsidR="00CB7314" w:rsidRPr="00AA1E9F">
        <w:t xml:space="preserve">DDA complaints in this area </w:t>
      </w:r>
      <w:r w:rsidR="00A97A06" w:rsidRPr="00AA1E9F">
        <w:t>is implemented. A person who has experienced harassment or offensive behaviour sh</w:t>
      </w:r>
      <w:r w:rsidR="00E806D6" w:rsidRPr="00AA1E9F">
        <w:t>ould not have to wait 6-12 months for their complaint to be dealt with</w:t>
      </w:r>
      <w:r w:rsidR="001E03EF" w:rsidRPr="00AA1E9F">
        <w:t>, and en</w:t>
      </w:r>
      <w:r w:rsidR="00165915" w:rsidRPr="00AA1E9F">
        <w:t>d</w:t>
      </w:r>
      <w:r w:rsidR="001E03EF" w:rsidRPr="00AA1E9F">
        <w:t xml:space="preserve">ure a continuation of the discriminatory behaviour </w:t>
      </w:r>
      <w:r w:rsidR="001464F5" w:rsidRPr="00AA1E9F">
        <w:t>during this time.</w:t>
      </w:r>
      <w:r w:rsidR="004444A7" w:rsidRPr="00AA1E9F">
        <w:t xml:space="preserve"> It will be important to ensure that online spaces are included in th</w:t>
      </w:r>
      <w:r w:rsidR="00C875E3" w:rsidRPr="00AA1E9F">
        <w:t xml:space="preserve">e definition of “public place”, because an increasing amount of harassment and offensive behaviour against people with a disability takes place </w:t>
      </w:r>
      <w:r w:rsidR="0014427B" w:rsidRPr="00AA1E9F">
        <w:t>on</w:t>
      </w:r>
      <w:r w:rsidR="00C875E3" w:rsidRPr="00AA1E9F">
        <w:t xml:space="preserve"> social media</w:t>
      </w:r>
      <w:r w:rsidR="0014427B" w:rsidRPr="00AA1E9F">
        <w:t xml:space="preserve"> platforms.</w:t>
      </w:r>
    </w:p>
    <w:p w14:paraId="4BB1AF76" w14:textId="77777777" w:rsidR="001464F5" w:rsidRPr="00AA1E9F" w:rsidRDefault="001464F5" w:rsidP="00240A4D">
      <w:pPr>
        <w:contextualSpacing/>
        <w:jc w:val="both"/>
      </w:pPr>
    </w:p>
    <w:p w14:paraId="2DF91FD6" w14:textId="55FC3ADC" w:rsidR="001464F5" w:rsidRPr="00AA1E9F" w:rsidRDefault="001464F5" w:rsidP="00240A4D">
      <w:pPr>
        <w:contextualSpacing/>
        <w:jc w:val="both"/>
      </w:pPr>
      <w:r w:rsidRPr="00AA1E9F">
        <w:t>We support the intent of the DRC’s recommendation to amend the DDA to include a prohibition of more serious</w:t>
      </w:r>
      <w:r w:rsidR="00D77E21" w:rsidRPr="00AA1E9F">
        <w:t xml:space="preserve"> behaviour such as vilification. </w:t>
      </w:r>
      <w:r w:rsidR="00837703" w:rsidRPr="00AA1E9F">
        <w:t>However, in view of the recent changes to the Criminal Code that are described in the Issues Pa</w:t>
      </w:r>
      <w:r w:rsidR="00953584" w:rsidRPr="00AA1E9F">
        <w:t xml:space="preserve">per we </w:t>
      </w:r>
      <w:r w:rsidR="00C9032B" w:rsidRPr="00AA1E9F">
        <w:t>think that this Code offer</w:t>
      </w:r>
      <w:r w:rsidR="00B57C74" w:rsidRPr="00AA1E9F">
        <w:t>s</w:t>
      </w:r>
      <w:r w:rsidR="003D4A1E" w:rsidRPr="00AA1E9F">
        <w:t xml:space="preserve"> </w:t>
      </w:r>
      <w:r w:rsidR="00C9032B" w:rsidRPr="00AA1E9F">
        <w:t>a more effective</w:t>
      </w:r>
      <w:r w:rsidR="003D4A1E" w:rsidRPr="00AA1E9F">
        <w:t xml:space="preserve"> framework for addressing and deterring serious vilification.</w:t>
      </w:r>
    </w:p>
    <w:p w14:paraId="7653AAED" w14:textId="77777777" w:rsidR="00E45D6E" w:rsidRPr="00AA1E9F" w:rsidRDefault="00E45D6E" w:rsidP="00240A4D">
      <w:pPr>
        <w:contextualSpacing/>
        <w:jc w:val="both"/>
      </w:pPr>
    </w:p>
    <w:p w14:paraId="30C51242" w14:textId="7125AD70" w:rsidR="00E45D6E" w:rsidRPr="00AA1E9F" w:rsidRDefault="00454518" w:rsidP="00240A4D">
      <w:pPr>
        <w:contextualSpacing/>
        <w:jc w:val="both"/>
      </w:pPr>
      <w:r w:rsidRPr="00AA1E9F">
        <w:t>We find it difficult to penetrate the logic behind allowing artistic works to be exempt</w:t>
      </w:r>
      <w:r w:rsidR="00BF42CB" w:rsidRPr="00AA1E9F">
        <w:t xml:space="preserve"> from the prohibition of harassment and offensive</w:t>
      </w:r>
      <w:r w:rsidR="0021128A" w:rsidRPr="00AA1E9F">
        <w:t xml:space="preserve"> behaviour. Given that people with a disability have often been </w:t>
      </w:r>
      <w:r w:rsidR="002B4A45" w:rsidRPr="00AA1E9F">
        <w:t xml:space="preserve">belittled, disparaged, humiliated and offended </w:t>
      </w:r>
      <w:r w:rsidR="00A62F15" w:rsidRPr="00AA1E9F">
        <w:t>under the guise of artistic expression, we believe that this exemption should not be carried over</w:t>
      </w:r>
      <w:r w:rsidR="00FA5DEF" w:rsidRPr="00AA1E9F">
        <w:t xml:space="preserve"> into any amendment to the DDA. At the very least, it should be clarified </w:t>
      </w:r>
      <w:r w:rsidR="001F237C" w:rsidRPr="00AA1E9F">
        <w:t xml:space="preserve">that this exemption can only be relied on very specific situations, for example, when a character in a historical novel </w:t>
      </w:r>
      <w:r w:rsidR="00023087" w:rsidRPr="00AA1E9F">
        <w:t>express</w:t>
      </w:r>
      <w:r w:rsidR="006B3D2A" w:rsidRPr="00AA1E9F">
        <w:t>es</w:t>
      </w:r>
      <w:r w:rsidR="00023087" w:rsidRPr="00AA1E9F">
        <w:t xml:space="preserve"> offensive views</w:t>
      </w:r>
      <w:r w:rsidR="008E0462" w:rsidRPr="00AA1E9F">
        <w:t xml:space="preserve"> or uses offensive language towards people with disability </w:t>
      </w:r>
      <w:r w:rsidR="00023087" w:rsidRPr="00AA1E9F">
        <w:t>that are no longer acceptable</w:t>
      </w:r>
      <w:r w:rsidR="00D674B2" w:rsidRPr="00AA1E9F">
        <w:t>,</w:t>
      </w:r>
      <w:r w:rsidR="00023087" w:rsidRPr="00AA1E9F">
        <w:t xml:space="preserve"> and which are not those of the author. </w:t>
      </w:r>
    </w:p>
    <w:p w14:paraId="3BECF79E" w14:textId="77777777" w:rsidR="00487283" w:rsidRPr="00AA1E9F" w:rsidRDefault="00487283" w:rsidP="00240A4D">
      <w:pPr>
        <w:contextualSpacing/>
        <w:jc w:val="both"/>
      </w:pPr>
    </w:p>
    <w:p w14:paraId="6A891F25" w14:textId="60C855DB" w:rsidR="009C497A" w:rsidRPr="00AA1E9F" w:rsidRDefault="00487283" w:rsidP="00240A4D">
      <w:pPr>
        <w:contextualSpacing/>
        <w:jc w:val="both"/>
      </w:pPr>
      <w:r w:rsidRPr="00AA1E9F">
        <w:lastRenderedPageBreak/>
        <w:t xml:space="preserve">We also suggest that consideration be given to requiring anyone </w:t>
      </w:r>
      <w:r w:rsidR="000740C0">
        <w:t xml:space="preserve">who </w:t>
      </w:r>
      <w:r w:rsidR="004E276C">
        <w:t xml:space="preserve">believes they </w:t>
      </w:r>
      <w:r w:rsidR="000740C0">
        <w:t xml:space="preserve"> </w:t>
      </w:r>
      <w:r w:rsidR="000F535A">
        <w:t xml:space="preserve">should be able to </w:t>
      </w:r>
      <w:r w:rsidRPr="00AA1E9F">
        <w:t>rely on this exemption</w:t>
      </w:r>
      <w:r w:rsidR="004E52E4" w:rsidRPr="00AA1E9F">
        <w:t xml:space="preserve"> to apply for it</w:t>
      </w:r>
      <w:r w:rsidR="009C497A" w:rsidRPr="00AA1E9F">
        <w:t xml:space="preserve"> to the AHRC by providing samples and explanations</w:t>
      </w:r>
      <w:r w:rsidR="005439D0">
        <w:t>.</w:t>
      </w:r>
    </w:p>
    <w:p w14:paraId="70A1C942" w14:textId="77777777" w:rsidR="00263B7E" w:rsidRPr="00AA1E9F" w:rsidRDefault="00263B7E" w:rsidP="00240A4D">
      <w:pPr>
        <w:contextualSpacing/>
        <w:jc w:val="both"/>
      </w:pPr>
    </w:p>
    <w:p w14:paraId="279FE820" w14:textId="74A19900" w:rsidR="003C3551" w:rsidRDefault="002A7DF3" w:rsidP="00240A4D">
      <w:pPr>
        <w:pStyle w:val="Heading2"/>
        <w:spacing w:before="0" w:after="0"/>
        <w:contextualSpacing/>
        <w:jc w:val="both"/>
        <w:rPr>
          <w:sz w:val="32"/>
          <w:szCs w:val="32"/>
          <w:lang w:val="en-AU"/>
        </w:rPr>
      </w:pPr>
      <w:r>
        <w:rPr>
          <w:sz w:val="32"/>
          <w:szCs w:val="32"/>
          <w:lang w:val="en-AU"/>
        </w:rPr>
        <w:t xml:space="preserve">Question 31: </w:t>
      </w:r>
      <w:r w:rsidR="003C3551" w:rsidRPr="003C6009">
        <w:rPr>
          <w:sz w:val="32"/>
          <w:szCs w:val="32"/>
          <w:lang w:val="en-AU"/>
        </w:rPr>
        <w:t xml:space="preserve">How could the Disability Discrimination Act be amended to ensure that it covers policing? </w:t>
      </w:r>
    </w:p>
    <w:p w14:paraId="338DD235" w14:textId="77777777" w:rsidR="00240A4D" w:rsidRPr="00240A4D" w:rsidRDefault="00240A4D" w:rsidP="00240A4D"/>
    <w:p w14:paraId="2EB40687" w14:textId="38657D79" w:rsidR="00263B7E" w:rsidRPr="003C6009" w:rsidRDefault="002A7DF3" w:rsidP="00240A4D">
      <w:pPr>
        <w:pStyle w:val="Heading2"/>
        <w:spacing w:before="0" w:after="0"/>
        <w:contextualSpacing/>
        <w:jc w:val="both"/>
        <w:rPr>
          <w:sz w:val="32"/>
          <w:szCs w:val="32"/>
          <w:lang w:val="en-AU"/>
        </w:rPr>
      </w:pPr>
      <w:r>
        <w:rPr>
          <w:sz w:val="32"/>
          <w:szCs w:val="32"/>
          <w:lang w:val="en-AU"/>
        </w:rPr>
        <w:t xml:space="preserve">Question 32: </w:t>
      </w:r>
      <w:r w:rsidR="003C3551" w:rsidRPr="003C6009">
        <w:rPr>
          <w:sz w:val="32"/>
          <w:szCs w:val="32"/>
          <w:lang w:val="en-AU"/>
        </w:rPr>
        <w:t>Are there any specific circumstances or situations relating to policing or justice that should be excluded from the application of the Disability Discrimination Act?</w:t>
      </w:r>
    </w:p>
    <w:p w14:paraId="2A04488C" w14:textId="77777777" w:rsidR="003C3551" w:rsidRPr="00AA1E9F" w:rsidRDefault="003C3551" w:rsidP="00240A4D">
      <w:pPr>
        <w:contextualSpacing/>
        <w:jc w:val="both"/>
      </w:pPr>
    </w:p>
    <w:p w14:paraId="5A6E30B3" w14:textId="72B8868C" w:rsidR="003C3551" w:rsidRPr="00AA1E9F" w:rsidRDefault="00CF571F" w:rsidP="00240A4D">
      <w:pPr>
        <w:contextualSpacing/>
        <w:jc w:val="both"/>
      </w:pPr>
      <w:r w:rsidRPr="00AA1E9F">
        <w:t>Vision Australia is not providing comment on these questions as we have limited experience and expertise in this topic area.</w:t>
      </w:r>
    </w:p>
    <w:p w14:paraId="416BD3A5" w14:textId="77777777" w:rsidR="006C3D77" w:rsidRPr="00AA1E9F" w:rsidRDefault="006C3D77" w:rsidP="00240A4D">
      <w:pPr>
        <w:contextualSpacing/>
        <w:jc w:val="both"/>
      </w:pPr>
    </w:p>
    <w:p w14:paraId="0C11DAD2" w14:textId="7AE713B6" w:rsidR="004B64BE" w:rsidRDefault="002A7DF3" w:rsidP="00240A4D">
      <w:pPr>
        <w:pStyle w:val="Heading2"/>
        <w:spacing w:before="0" w:after="0"/>
        <w:contextualSpacing/>
        <w:jc w:val="both"/>
        <w:rPr>
          <w:sz w:val="32"/>
          <w:szCs w:val="32"/>
          <w:lang w:val="en-AU"/>
        </w:rPr>
      </w:pPr>
      <w:r>
        <w:rPr>
          <w:sz w:val="32"/>
          <w:szCs w:val="32"/>
          <w:lang w:val="en-AU"/>
        </w:rPr>
        <w:t xml:space="preserve">Question 33: </w:t>
      </w:r>
      <w:r w:rsidR="004B64BE" w:rsidRPr="003C6009">
        <w:rPr>
          <w:sz w:val="32"/>
          <w:szCs w:val="32"/>
          <w:lang w:val="en-AU"/>
        </w:rPr>
        <w:t>Could any of the permanent exemptions be narrowed or updated, while balancing</w:t>
      </w:r>
      <w:r w:rsidR="003C6009">
        <w:rPr>
          <w:sz w:val="32"/>
          <w:szCs w:val="32"/>
          <w:lang w:val="en-AU"/>
        </w:rPr>
        <w:t xml:space="preserve"> </w:t>
      </w:r>
      <w:r w:rsidR="004B64BE" w:rsidRPr="003C6009">
        <w:rPr>
          <w:sz w:val="32"/>
          <w:szCs w:val="32"/>
          <w:lang w:val="en-AU"/>
        </w:rPr>
        <w:t xml:space="preserve">other policy considerations? </w:t>
      </w:r>
    </w:p>
    <w:p w14:paraId="618089C8" w14:textId="77777777" w:rsidR="00240A4D" w:rsidRPr="00240A4D" w:rsidRDefault="00240A4D" w:rsidP="00240A4D"/>
    <w:p w14:paraId="58684489" w14:textId="1103F21E" w:rsidR="004B64BE" w:rsidRDefault="002A7DF3" w:rsidP="00240A4D">
      <w:pPr>
        <w:pStyle w:val="Heading2"/>
        <w:spacing w:before="0" w:after="0"/>
        <w:contextualSpacing/>
        <w:jc w:val="both"/>
        <w:rPr>
          <w:sz w:val="32"/>
          <w:szCs w:val="32"/>
          <w:lang w:val="en-AU"/>
        </w:rPr>
      </w:pPr>
      <w:r>
        <w:rPr>
          <w:sz w:val="32"/>
          <w:szCs w:val="32"/>
          <w:lang w:val="en-AU"/>
        </w:rPr>
        <w:t xml:space="preserve">Question 34: </w:t>
      </w:r>
      <w:r w:rsidR="004B64BE" w:rsidRPr="003C6009">
        <w:rPr>
          <w:sz w:val="32"/>
          <w:szCs w:val="32"/>
          <w:lang w:val="en-AU"/>
        </w:rPr>
        <w:t>Should the Australian Human Rights Commission be given the power to grant special</w:t>
      </w:r>
      <w:r w:rsidR="003C6009">
        <w:rPr>
          <w:sz w:val="32"/>
          <w:szCs w:val="32"/>
          <w:lang w:val="en-AU"/>
        </w:rPr>
        <w:t xml:space="preserve"> </w:t>
      </w:r>
      <w:r w:rsidR="004B64BE" w:rsidRPr="003C6009">
        <w:rPr>
          <w:sz w:val="32"/>
          <w:szCs w:val="32"/>
          <w:lang w:val="en-AU"/>
        </w:rPr>
        <w:t xml:space="preserve">measures certificates? </w:t>
      </w:r>
    </w:p>
    <w:p w14:paraId="0040C56C" w14:textId="77777777" w:rsidR="00240A4D" w:rsidRPr="00240A4D" w:rsidRDefault="00240A4D" w:rsidP="00240A4D"/>
    <w:p w14:paraId="331A1FBA" w14:textId="16AFB288" w:rsidR="004B64BE" w:rsidRDefault="002A7DF3" w:rsidP="00240A4D">
      <w:pPr>
        <w:pStyle w:val="Heading2"/>
        <w:spacing w:before="0" w:after="0"/>
        <w:contextualSpacing/>
        <w:jc w:val="both"/>
        <w:rPr>
          <w:sz w:val="32"/>
          <w:szCs w:val="32"/>
          <w:lang w:val="en-AU"/>
        </w:rPr>
      </w:pPr>
      <w:r>
        <w:rPr>
          <w:sz w:val="32"/>
          <w:szCs w:val="32"/>
          <w:lang w:val="en-AU"/>
        </w:rPr>
        <w:t xml:space="preserve">Question 35: </w:t>
      </w:r>
      <w:r w:rsidR="004B64BE" w:rsidRPr="003C6009">
        <w:rPr>
          <w:sz w:val="32"/>
          <w:szCs w:val="32"/>
          <w:lang w:val="en-AU"/>
        </w:rPr>
        <w:t xml:space="preserve">Should a definition for special measures be added to the Disability Discrimination Act? </w:t>
      </w:r>
    </w:p>
    <w:p w14:paraId="3EABB136" w14:textId="77777777" w:rsidR="00240A4D" w:rsidRPr="00240A4D" w:rsidRDefault="00240A4D" w:rsidP="00240A4D"/>
    <w:p w14:paraId="09C9879A" w14:textId="4E01AED7" w:rsidR="004B64BE" w:rsidRDefault="002A7DF3" w:rsidP="00240A4D">
      <w:pPr>
        <w:pStyle w:val="Heading2"/>
        <w:spacing w:before="0" w:after="0"/>
        <w:contextualSpacing/>
        <w:jc w:val="both"/>
        <w:rPr>
          <w:sz w:val="32"/>
          <w:szCs w:val="32"/>
          <w:lang w:val="en-AU"/>
        </w:rPr>
      </w:pPr>
      <w:r>
        <w:rPr>
          <w:sz w:val="32"/>
          <w:szCs w:val="32"/>
          <w:lang w:val="en-AU"/>
        </w:rPr>
        <w:t xml:space="preserve">Question 36: </w:t>
      </w:r>
      <w:r w:rsidR="004B64BE" w:rsidRPr="003C6009">
        <w:rPr>
          <w:sz w:val="32"/>
          <w:szCs w:val="32"/>
          <w:lang w:val="en-AU"/>
        </w:rPr>
        <w:t xml:space="preserve">Should a definition for temporary exemptions be added to the Disability Discrimination Act? </w:t>
      </w:r>
    </w:p>
    <w:p w14:paraId="10A68C16" w14:textId="77777777" w:rsidR="00240A4D" w:rsidRPr="00240A4D" w:rsidRDefault="00240A4D" w:rsidP="00240A4D"/>
    <w:p w14:paraId="72A54A38" w14:textId="5117BDE8" w:rsidR="006C3D77" w:rsidRPr="003C6009" w:rsidRDefault="002A7DF3" w:rsidP="00240A4D">
      <w:pPr>
        <w:pStyle w:val="Heading2"/>
        <w:spacing w:before="0" w:after="0"/>
        <w:contextualSpacing/>
        <w:jc w:val="both"/>
        <w:rPr>
          <w:sz w:val="32"/>
          <w:szCs w:val="32"/>
          <w:lang w:val="en-AU"/>
        </w:rPr>
      </w:pPr>
      <w:r>
        <w:rPr>
          <w:sz w:val="32"/>
          <w:szCs w:val="32"/>
          <w:lang w:val="en-AU"/>
        </w:rPr>
        <w:t xml:space="preserve">Question 37: </w:t>
      </w:r>
      <w:r w:rsidR="004B64BE" w:rsidRPr="003C6009">
        <w:rPr>
          <w:sz w:val="32"/>
          <w:szCs w:val="32"/>
          <w:lang w:val="en-AU"/>
        </w:rPr>
        <w:t>Would you recommend any changes to the legislative process of granting temporary</w:t>
      </w:r>
      <w:r w:rsidR="00081346" w:rsidRPr="003C6009">
        <w:rPr>
          <w:sz w:val="32"/>
          <w:szCs w:val="32"/>
          <w:lang w:val="en-AU"/>
        </w:rPr>
        <w:t xml:space="preserve"> </w:t>
      </w:r>
      <w:r w:rsidR="004B64BE" w:rsidRPr="003C6009">
        <w:rPr>
          <w:sz w:val="32"/>
          <w:szCs w:val="32"/>
          <w:lang w:val="en-AU"/>
        </w:rPr>
        <w:t>exemptions?</w:t>
      </w:r>
    </w:p>
    <w:p w14:paraId="5A97E828" w14:textId="77777777" w:rsidR="004B64BE" w:rsidRPr="00AA1E9F" w:rsidRDefault="004B64BE" w:rsidP="00240A4D">
      <w:pPr>
        <w:contextualSpacing/>
        <w:jc w:val="both"/>
      </w:pPr>
    </w:p>
    <w:p w14:paraId="1D17C81C" w14:textId="0FF0D2C2" w:rsidR="004B64BE" w:rsidRPr="00AA1E9F" w:rsidRDefault="004B64BE" w:rsidP="00240A4D">
      <w:pPr>
        <w:contextualSpacing/>
        <w:jc w:val="both"/>
      </w:pPr>
      <w:r w:rsidRPr="00AA1E9F">
        <w:t xml:space="preserve">We acknowledge, along with the DRC, that rights </w:t>
      </w:r>
      <w:r w:rsidR="00084754" w:rsidRPr="00AA1E9F">
        <w:t>are not absolute, and that there are various and sometimes competing priorities that must be balanced</w:t>
      </w:r>
      <w:r w:rsidR="005732E4" w:rsidRPr="00AA1E9F">
        <w:t xml:space="preserve"> in determining how rights are to be promoted and upheld. However</w:t>
      </w:r>
      <w:r w:rsidR="005A42F9">
        <w:t>,</w:t>
      </w:r>
      <w:r w:rsidR="005732E4" w:rsidRPr="00AA1E9F">
        <w:t xml:space="preserve"> we do strongly support the DRC’s recommendation </w:t>
      </w:r>
      <w:r w:rsidR="00665AF0" w:rsidRPr="00AA1E9F">
        <w:t>to amend the DDA so as to precisely define and clarify</w:t>
      </w:r>
      <w:r w:rsidR="00BD7C71" w:rsidRPr="00AA1E9F">
        <w:t xml:space="preserve"> the permanent exemp</w:t>
      </w:r>
      <w:r w:rsidR="003D4C2B" w:rsidRPr="00AA1E9F">
        <w:t>t</w:t>
      </w:r>
      <w:r w:rsidR="00BD7C71" w:rsidRPr="00AA1E9F">
        <w:t xml:space="preserve">ions, and </w:t>
      </w:r>
      <w:r w:rsidR="00D8501C" w:rsidRPr="00AA1E9F">
        <w:t>to provide a statement of how the ri</w:t>
      </w:r>
      <w:r w:rsidR="00D97CA5" w:rsidRPr="00AA1E9F">
        <w:t>g</w:t>
      </w:r>
      <w:r w:rsidR="00D8501C" w:rsidRPr="00AA1E9F">
        <w:t>hts of people with disability are limited by each exemption.</w:t>
      </w:r>
    </w:p>
    <w:p w14:paraId="1A442633" w14:textId="77777777" w:rsidR="002D39A1" w:rsidRPr="00AA1E9F" w:rsidRDefault="002D39A1" w:rsidP="00240A4D">
      <w:pPr>
        <w:contextualSpacing/>
        <w:jc w:val="both"/>
      </w:pPr>
    </w:p>
    <w:p w14:paraId="44C52FD9" w14:textId="16908252" w:rsidR="002D39A1" w:rsidRPr="00AA1E9F" w:rsidRDefault="002D39A1" w:rsidP="00240A4D">
      <w:pPr>
        <w:contextualSpacing/>
        <w:jc w:val="both"/>
      </w:pPr>
      <w:r w:rsidRPr="00AA1E9F">
        <w:t>We believe that it is time to remove the migration exemption. It is based on an outdate</w:t>
      </w:r>
      <w:r w:rsidR="007E796F" w:rsidRPr="00AA1E9F">
        <w:t xml:space="preserve">d “deficit model” of disability, it completely ignores the </w:t>
      </w:r>
      <w:r w:rsidR="00AD36BD" w:rsidRPr="00AA1E9F">
        <w:t xml:space="preserve">significant </w:t>
      </w:r>
      <w:r w:rsidR="007E796F" w:rsidRPr="00AA1E9F">
        <w:t>contributions that people with disability can and do make to the commun</w:t>
      </w:r>
      <w:r w:rsidR="00AE53E7" w:rsidRPr="00AA1E9F">
        <w:t>ity, it is not consistent with community expectations</w:t>
      </w:r>
      <w:r w:rsidR="00AC7C51" w:rsidRPr="00AA1E9F">
        <w:t xml:space="preserve">, and it is </w:t>
      </w:r>
      <w:r w:rsidR="005B4B3B" w:rsidRPr="00AA1E9F">
        <w:t xml:space="preserve">likely </w:t>
      </w:r>
      <w:r w:rsidR="00AC7C51" w:rsidRPr="00AA1E9F">
        <w:t>not consistent with our obligations under the Disabilities Convention</w:t>
      </w:r>
      <w:r w:rsidR="00AE53E7" w:rsidRPr="00AA1E9F">
        <w:t xml:space="preserve">. </w:t>
      </w:r>
      <w:r w:rsidR="00F53570" w:rsidRPr="00AA1E9F">
        <w:t xml:space="preserve">In our view a better approach would be to require </w:t>
      </w:r>
      <w:r w:rsidR="00D963DB" w:rsidRPr="00AA1E9F">
        <w:t xml:space="preserve">that each </w:t>
      </w:r>
      <w:r w:rsidR="00D963DB" w:rsidRPr="00AA1E9F">
        <w:lastRenderedPageBreak/>
        <w:t xml:space="preserve">immigration application from a person with disability be decided on a case by case basis, and that </w:t>
      </w:r>
      <w:r w:rsidR="00D5716B" w:rsidRPr="00AA1E9F">
        <w:t xml:space="preserve">the </w:t>
      </w:r>
      <w:r w:rsidR="00D963DB" w:rsidRPr="00AA1E9F">
        <w:t xml:space="preserve">general </w:t>
      </w:r>
      <w:r w:rsidR="00E626CA" w:rsidRPr="00AA1E9F">
        <w:t>defence</w:t>
      </w:r>
      <w:r w:rsidR="00D5716B" w:rsidRPr="00AA1E9F">
        <w:t xml:space="preserve"> of</w:t>
      </w:r>
      <w:r w:rsidR="00E626CA" w:rsidRPr="00AA1E9F">
        <w:t xml:space="preserve"> unjustifiable hardship be the only</w:t>
      </w:r>
      <w:r w:rsidR="00703D04" w:rsidRPr="00AA1E9F">
        <w:t xml:space="preserve"> </w:t>
      </w:r>
      <w:r w:rsidR="006C6143" w:rsidRPr="00AA1E9F">
        <w:t>def</w:t>
      </w:r>
      <w:r w:rsidR="00EB5DE4" w:rsidRPr="00AA1E9F">
        <w:t>ence available</w:t>
      </w:r>
      <w:r w:rsidR="00E510B3" w:rsidRPr="00AA1E9F">
        <w:t xml:space="preserve"> for engaging in </w:t>
      </w:r>
      <w:r w:rsidR="003F4F72" w:rsidRPr="00AA1E9F">
        <w:t>d</w:t>
      </w:r>
      <w:r w:rsidR="00EB5DE4" w:rsidRPr="00AA1E9F">
        <w:t>iscrimination</w:t>
      </w:r>
      <w:r w:rsidR="003F4F72" w:rsidRPr="00AA1E9F">
        <w:t>.</w:t>
      </w:r>
    </w:p>
    <w:p w14:paraId="36997AF3" w14:textId="77777777" w:rsidR="003F4F72" w:rsidRPr="00AA1E9F" w:rsidRDefault="003F4F72" w:rsidP="00240A4D">
      <w:pPr>
        <w:contextualSpacing/>
        <w:jc w:val="both"/>
      </w:pPr>
    </w:p>
    <w:p w14:paraId="63721FB1" w14:textId="55EE53D8" w:rsidR="00AE7ACB" w:rsidRPr="00AA1E9F" w:rsidRDefault="003F4F72" w:rsidP="00240A4D">
      <w:pPr>
        <w:contextualSpacing/>
        <w:jc w:val="both"/>
      </w:pPr>
      <w:r w:rsidRPr="00AA1E9F">
        <w:t xml:space="preserve">We </w:t>
      </w:r>
      <w:r w:rsidR="004C3548" w:rsidRPr="00AA1E9F">
        <w:t xml:space="preserve">understand the reasons for the exemption relating to assistance animals, but in our view it needs clarification as it is </w:t>
      </w:r>
      <w:r w:rsidR="00702508" w:rsidRPr="00AA1E9F">
        <w:t xml:space="preserve">difficult to interpret and apply in practice. The main issue is the lack of definition for evidence that may be requested. In our experience duty holders </w:t>
      </w:r>
      <w:r w:rsidR="000E1D59" w:rsidRPr="00AA1E9F">
        <w:t xml:space="preserve">and service providers </w:t>
      </w:r>
      <w:r w:rsidR="005D57CF" w:rsidRPr="00AA1E9F">
        <w:t>are not</w:t>
      </w:r>
      <w:r w:rsidR="005A24F4" w:rsidRPr="00AA1E9F">
        <w:t xml:space="preserve"> equipped to know which evidence they need or should request</w:t>
      </w:r>
      <w:r w:rsidR="004763F3" w:rsidRPr="00AA1E9F">
        <w:t>, or to assess the relevance and reliability of that evidence.</w:t>
      </w:r>
      <w:r w:rsidR="005A24F4" w:rsidRPr="00AA1E9F">
        <w:t xml:space="preserve"> </w:t>
      </w:r>
      <w:r w:rsidR="004763F3" w:rsidRPr="00AA1E9F">
        <w:t>I</w:t>
      </w:r>
      <w:r w:rsidR="005A24F4" w:rsidRPr="00AA1E9F">
        <w:t>n any case</w:t>
      </w:r>
      <w:r w:rsidR="004763F3" w:rsidRPr="00AA1E9F">
        <w:t>,</w:t>
      </w:r>
      <w:r w:rsidR="005A24F4" w:rsidRPr="00AA1E9F">
        <w:t xml:space="preserve"> there is often a misconception that req</w:t>
      </w:r>
      <w:r w:rsidR="00075650" w:rsidRPr="00AA1E9F">
        <w:t xml:space="preserve">uiring evidence </w:t>
      </w:r>
      <w:r w:rsidR="00A10C61" w:rsidRPr="00AA1E9F">
        <w:t>is</w:t>
      </w:r>
      <w:r w:rsidR="00075650" w:rsidRPr="00AA1E9F">
        <w:t xml:space="preserve"> the rule rather than the exemption when interacting with assistance animals and their handlers.</w:t>
      </w:r>
      <w:r w:rsidR="00CC69AE" w:rsidRPr="00AA1E9F">
        <w:t xml:space="preserve"> </w:t>
      </w:r>
      <w:r w:rsidR="00826994" w:rsidRPr="00AA1E9F">
        <w:t>Conversely, ha</w:t>
      </w:r>
      <w:r w:rsidR="00856617" w:rsidRPr="00AA1E9F">
        <w:t>ndlers have no certa</w:t>
      </w:r>
      <w:r w:rsidR="009E73A1" w:rsidRPr="00AA1E9F">
        <w:t>inty about the evidence that they may be required to produce, and this causes extra stress</w:t>
      </w:r>
      <w:r w:rsidR="00B51D11" w:rsidRPr="00AA1E9F">
        <w:t xml:space="preserve"> when they </w:t>
      </w:r>
      <w:r w:rsidR="00AE7ACB" w:rsidRPr="00AA1E9F">
        <w:t>visit public places with their assistance animal.</w:t>
      </w:r>
    </w:p>
    <w:p w14:paraId="4867FEE1" w14:textId="77777777" w:rsidR="00AE7ACB" w:rsidRPr="00AA1E9F" w:rsidRDefault="00AE7ACB" w:rsidP="00240A4D">
      <w:pPr>
        <w:contextualSpacing/>
        <w:jc w:val="both"/>
      </w:pPr>
    </w:p>
    <w:p w14:paraId="222E84E1" w14:textId="22D01BE7" w:rsidR="00D434C0" w:rsidRPr="00AA1E9F" w:rsidRDefault="00CC69AE" w:rsidP="00240A4D">
      <w:pPr>
        <w:contextualSpacing/>
        <w:jc w:val="both"/>
      </w:pPr>
      <w:r w:rsidRPr="00AA1E9F">
        <w:t>Our view is</w:t>
      </w:r>
      <w:r w:rsidR="00043144" w:rsidRPr="00AA1E9F">
        <w:t>, therefore,</w:t>
      </w:r>
      <w:r w:rsidRPr="00AA1E9F">
        <w:t xml:space="preserve"> that “evidence” must be defined exhaustively, either in the DDA itself or</w:t>
      </w:r>
      <w:r w:rsidR="00B13B8E" w:rsidRPr="00AA1E9F">
        <w:t xml:space="preserve"> (preferably)</w:t>
      </w:r>
      <w:r w:rsidRPr="00AA1E9F">
        <w:t xml:space="preserve"> in </w:t>
      </w:r>
      <w:r w:rsidR="00043144" w:rsidRPr="00AA1E9F">
        <w:t>the Disability Discrimination Regulations</w:t>
      </w:r>
      <w:r w:rsidRPr="00AA1E9F">
        <w:t>.</w:t>
      </w:r>
      <w:r w:rsidR="002665E8" w:rsidRPr="00AA1E9F">
        <w:t xml:space="preserve"> The definition should be developed to </w:t>
      </w:r>
      <w:r w:rsidR="007F1AD9" w:rsidRPr="00AA1E9F">
        <w:t>align with</w:t>
      </w:r>
      <w:r w:rsidR="002665E8" w:rsidRPr="00AA1E9F">
        <w:t xml:space="preserve"> the National </w:t>
      </w:r>
      <w:r w:rsidR="006B64CA">
        <w:t>A</w:t>
      </w:r>
      <w:r w:rsidR="007F1AD9" w:rsidRPr="00AA1E9F">
        <w:t xml:space="preserve">ssistance </w:t>
      </w:r>
      <w:r w:rsidR="006B64CA">
        <w:t>A</w:t>
      </w:r>
      <w:r w:rsidR="007F1AD9" w:rsidRPr="00AA1E9F">
        <w:t xml:space="preserve">nimal </w:t>
      </w:r>
      <w:r w:rsidR="002665E8" w:rsidRPr="00AA1E9F">
        <w:t>Principl</w:t>
      </w:r>
      <w:r w:rsidR="00CC5177" w:rsidRPr="00AA1E9F">
        <w:t>e</w:t>
      </w:r>
      <w:r w:rsidR="002665E8" w:rsidRPr="00AA1E9F">
        <w:t>s</w:t>
      </w:r>
      <w:r w:rsidR="00082DD2" w:rsidRPr="00AA1E9F">
        <w:t xml:space="preserve">, but will most likely </w:t>
      </w:r>
      <w:r w:rsidR="001305F9" w:rsidRPr="00AA1E9F">
        <w:t>include</w:t>
      </w:r>
      <w:r w:rsidR="00E05151" w:rsidRPr="00AA1E9F">
        <w:t xml:space="preserve"> a card</w:t>
      </w:r>
      <w:r w:rsidR="00B016F1" w:rsidRPr="00AA1E9F">
        <w:t>, certificate</w:t>
      </w:r>
      <w:r w:rsidR="00E05151" w:rsidRPr="00AA1E9F">
        <w:t xml:space="preserve"> or tag </w:t>
      </w:r>
      <w:r w:rsidR="00B016F1" w:rsidRPr="00AA1E9F">
        <w:t>issued</w:t>
      </w:r>
      <w:r w:rsidR="00E05151" w:rsidRPr="00AA1E9F">
        <w:t xml:space="preserve"> by the organ</w:t>
      </w:r>
      <w:r w:rsidR="00E04EA3" w:rsidRPr="00AA1E9F">
        <w:t>i</w:t>
      </w:r>
      <w:r w:rsidR="00517F9B" w:rsidRPr="00AA1E9F">
        <w:t>s</w:t>
      </w:r>
      <w:r w:rsidR="00E05151" w:rsidRPr="00AA1E9F">
        <w:t>ation that trained or accredited the assistance animal.</w:t>
      </w:r>
    </w:p>
    <w:p w14:paraId="0C4E6A4E" w14:textId="77777777" w:rsidR="00D434C0" w:rsidRPr="00AA1E9F" w:rsidRDefault="00D434C0" w:rsidP="00240A4D">
      <w:pPr>
        <w:contextualSpacing/>
        <w:jc w:val="both"/>
      </w:pPr>
    </w:p>
    <w:p w14:paraId="61B43ECA" w14:textId="3DD9D2FF" w:rsidR="00180008" w:rsidRPr="00AA1E9F" w:rsidRDefault="00D434C0" w:rsidP="00240A4D">
      <w:pPr>
        <w:contextualSpacing/>
        <w:jc w:val="both"/>
      </w:pPr>
      <w:r w:rsidRPr="00AA1E9F">
        <w:t xml:space="preserve">We support </w:t>
      </w:r>
      <w:r w:rsidR="00C957C6" w:rsidRPr="00AA1E9F">
        <w:t>the DRC’s recomm</w:t>
      </w:r>
      <w:r w:rsidR="00E83447" w:rsidRPr="00AA1E9F">
        <w:t xml:space="preserve">endation relating to the special measures exemption. However, </w:t>
      </w:r>
      <w:r w:rsidR="00D940AF" w:rsidRPr="00AA1E9F">
        <w:t xml:space="preserve">and </w:t>
      </w:r>
      <w:r w:rsidR="00E83447" w:rsidRPr="00AA1E9F">
        <w:t>as we have noted previously, if the functions of the AHRC are</w:t>
      </w:r>
      <w:r w:rsidR="004330B0" w:rsidRPr="00AA1E9F">
        <w:t xml:space="preserve"> expanded to include the issuing of temporary exemption certificates then it will be essential to also expand the AHRC’s resources</w:t>
      </w:r>
      <w:r w:rsidR="00180008" w:rsidRPr="00AA1E9F">
        <w:t>.</w:t>
      </w:r>
    </w:p>
    <w:p w14:paraId="6FEB5098" w14:textId="77777777" w:rsidR="00180008" w:rsidRPr="00AA1E9F" w:rsidRDefault="00180008" w:rsidP="00240A4D">
      <w:pPr>
        <w:contextualSpacing/>
        <w:jc w:val="both"/>
      </w:pPr>
    </w:p>
    <w:p w14:paraId="00E97FD5" w14:textId="0DBF5273" w:rsidR="003F4F72" w:rsidRPr="00AA1E9F" w:rsidRDefault="00180008" w:rsidP="00240A4D">
      <w:pPr>
        <w:contextualSpacing/>
        <w:jc w:val="both"/>
      </w:pPr>
      <w:r w:rsidRPr="00AA1E9F">
        <w:t xml:space="preserve">We also support the inclusion of </w:t>
      </w:r>
      <w:r w:rsidR="000B5F1B" w:rsidRPr="00AA1E9F">
        <w:t>definitions for “</w:t>
      </w:r>
      <w:r w:rsidR="00D434C0" w:rsidRPr="00AA1E9F">
        <w:t>special measures”,</w:t>
      </w:r>
      <w:r w:rsidR="00CC69AE" w:rsidRPr="00AA1E9F">
        <w:t xml:space="preserve"> </w:t>
      </w:r>
      <w:r w:rsidR="00141817" w:rsidRPr="00AA1E9F">
        <w:t>and “temporary exemptions” in the DDA in the interests of clarity and certainty.</w:t>
      </w:r>
      <w:r w:rsidR="00D15AF9" w:rsidRPr="00AA1E9F">
        <w:t xml:space="preserve"> </w:t>
      </w:r>
      <w:r w:rsidR="007C2492" w:rsidRPr="00AA1E9F">
        <w:t xml:space="preserve">Our experience with the process for granting temporary exemptions is that it </w:t>
      </w:r>
      <w:r w:rsidR="00C262D8" w:rsidRPr="00AA1E9F">
        <w:t>i</w:t>
      </w:r>
      <w:r w:rsidR="00F359CD" w:rsidRPr="00AA1E9F">
        <w:t>s</w:t>
      </w:r>
      <w:r w:rsidR="00C262D8" w:rsidRPr="00AA1E9F">
        <w:t xml:space="preserve"> effective and inclu</w:t>
      </w:r>
      <w:r w:rsidR="00A0712C" w:rsidRPr="00AA1E9F">
        <w:t>d</w:t>
      </w:r>
      <w:r w:rsidR="00C262D8" w:rsidRPr="00AA1E9F">
        <w:t xml:space="preserve">es </w:t>
      </w:r>
      <w:r w:rsidR="00A0712C" w:rsidRPr="00AA1E9F">
        <w:t>broad</w:t>
      </w:r>
      <w:r w:rsidR="00C262D8" w:rsidRPr="00AA1E9F">
        <w:t xml:space="preserve"> consu</w:t>
      </w:r>
      <w:r w:rsidR="00A0712C" w:rsidRPr="00AA1E9F">
        <w:t>l</w:t>
      </w:r>
      <w:r w:rsidR="00C262D8" w:rsidRPr="00AA1E9F">
        <w:t>tat</w:t>
      </w:r>
      <w:r w:rsidR="00A0712C" w:rsidRPr="00AA1E9F">
        <w:t>i</w:t>
      </w:r>
      <w:r w:rsidR="00C262D8" w:rsidRPr="00AA1E9F">
        <w:t>on by the AHRC</w:t>
      </w:r>
      <w:r w:rsidR="00285039" w:rsidRPr="00AA1E9F">
        <w:t>.</w:t>
      </w:r>
      <w:r w:rsidR="00917B88" w:rsidRPr="00AA1E9F">
        <w:t xml:space="preserve"> </w:t>
      </w:r>
      <w:r w:rsidR="00931A38" w:rsidRPr="00AA1E9F">
        <w:t>One</w:t>
      </w:r>
      <w:r w:rsidR="00EA2C4C" w:rsidRPr="00AA1E9F">
        <w:t xml:space="preserve"> way of emphas</w:t>
      </w:r>
      <w:r w:rsidR="00AB3DF1" w:rsidRPr="00AA1E9F">
        <w:t>i</w:t>
      </w:r>
      <w:r w:rsidR="00EA2C4C" w:rsidRPr="00AA1E9F">
        <w:t xml:space="preserve">sing the temporary nature of the exemption </w:t>
      </w:r>
      <w:r w:rsidR="00DA23F6" w:rsidRPr="00AA1E9F">
        <w:t>to assist</w:t>
      </w:r>
      <w:r w:rsidR="009D4045" w:rsidRPr="00AA1E9F">
        <w:t xml:space="preserve"> in</w:t>
      </w:r>
      <w:r w:rsidR="00EA2C4C" w:rsidRPr="00AA1E9F">
        <w:t xml:space="preserve"> </w:t>
      </w:r>
      <w:r w:rsidR="000D33B1" w:rsidRPr="00AA1E9F">
        <w:t xml:space="preserve">moving towards greater compliance with the objects of the DDA would be to include requirements about </w:t>
      </w:r>
      <w:r w:rsidR="00FB1902" w:rsidRPr="00AA1E9F">
        <w:t>public reporting during the period for which the temporary exemption is granted.</w:t>
      </w:r>
    </w:p>
    <w:p w14:paraId="1F952EA5" w14:textId="77777777" w:rsidR="00285039" w:rsidRPr="00AA1E9F" w:rsidRDefault="00285039" w:rsidP="00240A4D">
      <w:pPr>
        <w:contextualSpacing/>
        <w:jc w:val="both"/>
      </w:pPr>
    </w:p>
    <w:p w14:paraId="6C1E5398" w14:textId="74A8C6D8" w:rsidR="004E244D" w:rsidRDefault="002A7DF3" w:rsidP="00240A4D">
      <w:pPr>
        <w:pStyle w:val="Heading2"/>
        <w:spacing w:before="0" w:after="0"/>
        <w:contextualSpacing/>
        <w:jc w:val="both"/>
        <w:rPr>
          <w:sz w:val="32"/>
          <w:szCs w:val="32"/>
          <w:lang w:val="en-AU"/>
        </w:rPr>
      </w:pPr>
      <w:r>
        <w:rPr>
          <w:sz w:val="32"/>
          <w:szCs w:val="32"/>
          <w:lang w:val="en-AU"/>
        </w:rPr>
        <w:t xml:space="preserve">Question 38: </w:t>
      </w:r>
      <w:r w:rsidR="004E244D" w:rsidRPr="003C6009">
        <w:rPr>
          <w:sz w:val="32"/>
          <w:szCs w:val="32"/>
          <w:lang w:val="en-AU"/>
        </w:rPr>
        <w:t xml:space="preserve">How could the protections for assistance </w:t>
      </w:r>
      <w:r w:rsidR="00E15686" w:rsidRPr="003C6009">
        <w:rPr>
          <w:sz w:val="32"/>
          <w:szCs w:val="32"/>
          <w:lang w:val="en-AU"/>
        </w:rPr>
        <w:t>a</w:t>
      </w:r>
      <w:r w:rsidR="004E244D" w:rsidRPr="003C6009">
        <w:rPr>
          <w:sz w:val="32"/>
          <w:szCs w:val="32"/>
          <w:lang w:val="en-AU"/>
        </w:rPr>
        <w:t xml:space="preserve">nimals be clarified for both people with disability and duty holders, including in relation to evidence of training, evidence or standards of hygiene and behaviour that are appropriate for a public place? </w:t>
      </w:r>
    </w:p>
    <w:p w14:paraId="4F077850" w14:textId="77777777" w:rsidR="00240A4D" w:rsidRPr="00240A4D" w:rsidRDefault="00240A4D" w:rsidP="00240A4D"/>
    <w:p w14:paraId="3C265D50" w14:textId="39A1414B" w:rsidR="00240A4D" w:rsidRDefault="002A7DF3" w:rsidP="00240A4D">
      <w:pPr>
        <w:pStyle w:val="Heading2"/>
        <w:spacing w:before="0" w:after="0"/>
        <w:contextualSpacing/>
        <w:jc w:val="both"/>
        <w:rPr>
          <w:sz w:val="32"/>
          <w:szCs w:val="32"/>
          <w:lang w:val="en-AU"/>
        </w:rPr>
      </w:pPr>
      <w:r>
        <w:rPr>
          <w:sz w:val="32"/>
          <w:szCs w:val="32"/>
          <w:lang w:val="en-AU"/>
        </w:rPr>
        <w:lastRenderedPageBreak/>
        <w:t>Question 39:</w:t>
      </w:r>
      <w:r w:rsidR="004E244D" w:rsidRPr="003C6009">
        <w:rPr>
          <w:sz w:val="32"/>
          <w:szCs w:val="32"/>
          <w:lang w:val="en-AU"/>
        </w:rPr>
        <w:t xml:space="preserve"> Would legislative amendments or guidance materials be helpful to balance flexibility and certainty, or a mixture of both?</w:t>
      </w:r>
    </w:p>
    <w:p w14:paraId="77723CF2" w14:textId="6C9F73B2" w:rsidR="004E244D" w:rsidRPr="003C6009" w:rsidRDefault="004E244D" w:rsidP="00240A4D">
      <w:pPr>
        <w:pStyle w:val="Heading2"/>
        <w:spacing w:before="0" w:after="0"/>
        <w:contextualSpacing/>
        <w:jc w:val="both"/>
        <w:rPr>
          <w:sz w:val="32"/>
          <w:szCs w:val="32"/>
          <w:lang w:val="en-AU"/>
        </w:rPr>
      </w:pPr>
      <w:r w:rsidRPr="003C6009">
        <w:rPr>
          <w:sz w:val="32"/>
          <w:szCs w:val="32"/>
          <w:lang w:val="en-AU"/>
        </w:rPr>
        <w:t xml:space="preserve"> </w:t>
      </w:r>
    </w:p>
    <w:p w14:paraId="4AEB8426" w14:textId="7FC2FC7F" w:rsidR="00285039" w:rsidRPr="003C6009" w:rsidRDefault="002A7DF3" w:rsidP="00240A4D">
      <w:pPr>
        <w:pStyle w:val="Heading2"/>
        <w:spacing w:before="0" w:after="0"/>
        <w:contextualSpacing/>
        <w:jc w:val="both"/>
        <w:rPr>
          <w:sz w:val="32"/>
          <w:szCs w:val="32"/>
          <w:lang w:val="en-AU"/>
        </w:rPr>
      </w:pPr>
      <w:r>
        <w:rPr>
          <w:sz w:val="32"/>
          <w:szCs w:val="32"/>
          <w:lang w:val="en-AU"/>
        </w:rPr>
        <w:t xml:space="preserve">Question 40: </w:t>
      </w:r>
      <w:r w:rsidR="004E244D" w:rsidRPr="003C6009">
        <w:rPr>
          <w:sz w:val="32"/>
          <w:szCs w:val="32"/>
          <w:lang w:val="en-AU"/>
        </w:rPr>
        <w:t xml:space="preserve">Should specific training organisations be prescribed under the Disability </w:t>
      </w:r>
      <w:r w:rsidR="00AD7082" w:rsidRPr="003C6009">
        <w:rPr>
          <w:sz w:val="32"/>
          <w:szCs w:val="32"/>
          <w:lang w:val="en-AU"/>
        </w:rPr>
        <w:t xml:space="preserve">Discrimination </w:t>
      </w:r>
      <w:r w:rsidR="00B17B84" w:rsidRPr="003C6009">
        <w:rPr>
          <w:sz w:val="32"/>
          <w:szCs w:val="32"/>
          <w:lang w:val="en-AU"/>
        </w:rPr>
        <w:t>Regulations</w:t>
      </w:r>
      <w:r w:rsidR="00AD7082" w:rsidRPr="003C6009">
        <w:rPr>
          <w:sz w:val="32"/>
          <w:szCs w:val="32"/>
          <w:lang w:val="en-AU"/>
        </w:rPr>
        <w:t>?</w:t>
      </w:r>
    </w:p>
    <w:p w14:paraId="0D43432B" w14:textId="77777777" w:rsidR="00716E01" w:rsidRPr="00AA1E9F" w:rsidRDefault="00716E01" w:rsidP="00240A4D">
      <w:pPr>
        <w:contextualSpacing/>
        <w:jc w:val="both"/>
      </w:pPr>
    </w:p>
    <w:p w14:paraId="5A2B219A" w14:textId="673099CF" w:rsidR="00063A02" w:rsidRPr="00AA1E9F" w:rsidRDefault="00BF0B26" w:rsidP="00240A4D">
      <w:pPr>
        <w:contextualSpacing/>
        <w:jc w:val="both"/>
      </w:pPr>
      <w:r w:rsidRPr="00AA1E9F">
        <w:t xml:space="preserve">People </w:t>
      </w:r>
      <w:r w:rsidR="003F3E40" w:rsidRPr="00AA1E9F">
        <w:t xml:space="preserve">who use assistance animals to mitigate the impact of their disability still face frequent discrimination </w:t>
      </w:r>
      <w:r w:rsidR="004456C6" w:rsidRPr="00AA1E9F">
        <w:t>by accommodation and hospitality venues</w:t>
      </w:r>
      <w:r w:rsidR="00CF49C4" w:rsidRPr="00AA1E9F">
        <w:t xml:space="preserve">, some health </w:t>
      </w:r>
      <w:r w:rsidR="00BB16A8" w:rsidRPr="00AA1E9F">
        <w:t xml:space="preserve">and allied health </w:t>
      </w:r>
      <w:r w:rsidR="00CF49C4" w:rsidRPr="00AA1E9F">
        <w:t xml:space="preserve">facilities, </w:t>
      </w:r>
      <w:r w:rsidR="004456C6" w:rsidRPr="00AA1E9F">
        <w:t xml:space="preserve">and </w:t>
      </w:r>
      <w:r w:rsidR="00596C66" w:rsidRPr="00AA1E9F">
        <w:t>by</w:t>
      </w:r>
      <w:r w:rsidR="004456C6" w:rsidRPr="00AA1E9F">
        <w:t xml:space="preserve"> </w:t>
      </w:r>
      <w:r w:rsidR="00385972" w:rsidRPr="00AA1E9F">
        <w:t>point-to-point</w:t>
      </w:r>
      <w:r w:rsidR="004456C6" w:rsidRPr="00AA1E9F">
        <w:t xml:space="preserve"> transpo</w:t>
      </w:r>
      <w:r w:rsidR="002B5BBC" w:rsidRPr="00AA1E9F">
        <w:t xml:space="preserve">rt </w:t>
      </w:r>
      <w:r w:rsidR="009E0224" w:rsidRPr="00AA1E9F">
        <w:t xml:space="preserve">providers </w:t>
      </w:r>
      <w:r w:rsidR="002B5BBC" w:rsidRPr="00AA1E9F">
        <w:t>such as taxis and rideshare</w:t>
      </w:r>
      <w:r w:rsidR="0090195F">
        <w:t>s</w:t>
      </w:r>
      <w:r w:rsidR="002B5BBC" w:rsidRPr="00AA1E9F">
        <w:t xml:space="preserve">. </w:t>
      </w:r>
      <w:r w:rsidR="007A4132" w:rsidRPr="00AA1E9F">
        <w:t xml:space="preserve">It is usually very difficult </w:t>
      </w:r>
      <w:r w:rsidR="00CD214B" w:rsidRPr="00AA1E9F">
        <w:t xml:space="preserve">to enforce penalties under </w:t>
      </w:r>
      <w:r w:rsidR="00631890">
        <w:t>S</w:t>
      </w:r>
      <w:r w:rsidR="00CD214B" w:rsidRPr="00AA1E9F">
        <w:t xml:space="preserve">tate and </w:t>
      </w:r>
      <w:r w:rsidR="00631890">
        <w:t>T</w:t>
      </w:r>
      <w:r w:rsidR="00CD214B" w:rsidRPr="00AA1E9F">
        <w:t xml:space="preserve">erritory legislation, and </w:t>
      </w:r>
      <w:r w:rsidR="00C70CF3" w:rsidRPr="00AA1E9F">
        <w:t>people are deterred from lodging compl</w:t>
      </w:r>
      <w:r w:rsidR="0076115A" w:rsidRPr="00AA1E9F">
        <w:t>a</w:t>
      </w:r>
      <w:r w:rsidR="00C70CF3" w:rsidRPr="00AA1E9F">
        <w:t>in</w:t>
      </w:r>
      <w:r w:rsidR="0076115A" w:rsidRPr="00AA1E9F">
        <w:t>t</w:t>
      </w:r>
      <w:r w:rsidR="00C70CF3" w:rsidRPr="00AA1E9F">
        <w:t xml:space="preserve">s under the DDA by the length of time it takes to process </w:t>
      </w:r>
      <w:r w:rsidR="0076115A" w:rsidRPr="00AA1E9F">
        <w:t>them (6-12 months)</w:t>
      </w:r>
      <w:r w:rsidR="00AB6188" w:rsidRPr="00AA1E9F">
        <w:t>,</w:t>
      </w:r>
      <w:r w:rsidR="00C70CF3" w:rsidRPr="00AA1E9F">
        <w:t xml:space="preserve"> by the knowledge that </w:t>
      </w:r>
      <w:r w:rsidR="005054C0" w:rsidRPr="00AA1E9F">
        <w:t xml:space="preserve">individual </w:t>
      </w:r>
      <w:r w:rsidR="00492EB5" w:rsidRPr="00AA1E9F">
        <w:t>duty holders are under no obligation to participate in conciliation</w:t>
      </w:r>
      <w:r w:rsidR="009D04A5" w:rsidRPr="00AA1E9F">
        <w:t>, and by the lack of a mechanism for enforcing penal</w:t>
      </w:r>
      <w:r w:rsidR="00322E05" w:rsidRPr="00AA1E9F">
        <w:t xml:space="preserve">ties other than the </w:t>
      </w:r>
      <w:r w:rsidR="00190123" w:rsidRPr="00AA1E9F">
        <w:t>courts</w:t>
      </w:r>
      <w:r w:rsidR="00492EB5" w:rsidRPr="00AA1E9F">
        <w:t>.</w:t>
      </w:r>
      <w:r w:rsidR="00785234" w:rsidRPr="00AA1E9F">
        <w:t xml:space="preserve"> We therefore </w:t>
      </w:r>
      <w:r w:rsidR="002640C0" w:rsidRPr="00AA1E9F">
        <w:t>b</w:t>
      </w:r>
      <w:r w:rsidR="00785234" w:rsidRPr="00AA1E9F">
        <w:t>eli</w:t>
      </w:r>
      <w:r w:rsidR="002640C0" w:rsidRPr="00AA1E9F">
        <w:t>e</w:t>
      </w:r>
      <w:r w:rsidR="00785234" w:rsidRPr="00AA1E9F">
        <w:t xml:space="preserve">ve that amendments to the DDA are necessary to </w:t>
      </w:r>
      <w:r w:rsidR="00063A02" w:rsidRPr="00AA1E9F">
        <w:t>provide greater clarity, consistency and certainty</w:t>
      </w:r>
      <w:r w:rsidR="00754D7F" w:rsidRPr="00AA1E9F">
        <w:t>, and to ensure that all assistance animals are trained to consistent and appropriate standards</w:t>
      </w:r>
      <w:r w:rsidR="00063A02" w:rsidRPr="00AA1E9F">
        <w:t>.</w:t>
      </w:r>
    </w:p>
    <w:p w14:paraId="0F076E0A" w14:textId="77777777" w:rsidR="00063A02" w:rsidRPr="00AA1E9F" w:rsidRDefault="00063A02" w:rsidP="00240A4D">
      <w:pPr>
        <w:contextualSpacing/>
        <w:jc w:val="both"/>
      </w:pPr>
    </w:p>
    <w:p w14:paraId="520BF8D8" w14:textId="470BE2D9" w:rsidR="00250A64" w:rsidRPr="00AA1E9F" w:rsidRDefault="006C5033" w:rsidP="00240A4D">
      <w:pPr>
        <w:contextualSpacing/>
        <w:jc w:val="both"/>
      </w:pPr>
      <w:r w:rsidRPr="00AA1E9F">
        <w:t xml:space="preserve">We </w:t>
      </w:r>
      <w:r w:rsidR="00E84F7A" w:rsidRPr="00AA1E9F">
        <w:t xml:space="preserve">support </w:t>
      </w:r>
      <w:r w:rsidR="00250A64" w:rsidRPr="00AA1E9F">
        <w:t xml:space="preserve">an approach whereby the </w:t>
      </w:r>
      <w:r w:rsidR="00380ACC" w:rsidRPr="00AA1E9F">
        <w:t xml:space="preserve">“second limb” in the </w:t>
      </w:r>
      <w:r w:rsidR="00760CEC" w:rsidRPr="00AA1E9F">
        <w:t>DDA</w:t>
      </w:r>
      <w:r w:rsidR="00380ACC" w:rsidRPr="00AA1E9F">
        <w:t>’s definition of an assistance animal</w:t>
      </w:r>
      <w:r w:rsidR="00250A64" w:rsidRPr="00AA1E9F">
        <w:t xml:space="preserve"> </w:t>
      </w:r>
      <w:r w:rsidR="00760CEC" w:rsidRPr="00AA1E9F">
        <w:t xml:space="preserve">is </w:t>
      </w:r>
      <w:r w:rsidR="001B3318" w:rsidRPr="00AA1E9F">
        <w:t>strengthened by prescribing training and accreditation</w:t>
      </w:r>
      <w:r w:rsidR="00BA3B31" w:rsidRPr="00AA1E9F">
        <w:t xml:space="preserve"> organisations</w:t>
      </w:r>
      <w:r w:rsidR="001B3318" w:rsidRPr="00AA1E9F">
        <w:t xml:space="preserve"> in the Disability Discrimi</w:t>
      </w:r>
      <w:r w:rsidR="00A36547" w:rsidRPr="00AA1E9F">
        <w:t>na</w:t>
      </w:r>
      <w:r w:rsidR="001B3318" w:rsidRPr="00AA1E9F">
        <w:t>tion Regulations</w:t>
      </w:r>
      <w:r w:rsidR="00262515" w:rsidRPr="00AA1E9F">
        <w:t>.</w:t>
      </w:r>
      <w:r w:rsidR="005C2951" w:rsidRPr="00AA1E9F">
        <w:t xml:space="preserve"> </w:t>
      </w:r>
      <w:r w:rsidR="00250A64" w:rsidRPr="00AA1E9F">
        <w:t>This</w:t>
      </w:r>
      <w:r w:rsidR="00DE73DB" w:rsidRPr="00AA1E9F">
        <w:t xml:space="preserve"> “prescribed organisations”</w:t>
      </w:r>
      <w:r w:rsidR="00250A64" w:rsidRPr="00AA1E9F">
        <w:t xml:space="preserve"> </w:t>
      </w:r>
      <w:r w:rsidR="005C2951" w:rsidRPr="00AA1E9F">
        <w:t xml:space="preserve">approach </w:t>
      </w:r>
      <w:r w:rsidR="00250A64" w:rsidRPr="00AA1E9F">
        <w:t xml:space="preserve">has been </w:t>
      </w:r>
      <w:r w:rsidR="005C2951" w:rsidRPr="00AA1E9F">
        <w:t>followed</w:t>
      </w:r>
      <w:r w:rsidR="00250A64" w:rsidRPr="00AA1E9F">
        <w:t xml:space="preserve"> in some jurisdictions such as the Northern Territory, and is in line with </w:t>
      </w:r>
      <w:r w:rsidR="00FA3E20" w:rsidRPr="00AA1E9F">
        <w:t xml:space="preserve">the </w:t>
      </w:r>
      <w:r w:rsidR="00B56881">
        <w:t>N</w:t>
      </w:r>
      <w:r w:rsidR="00FA3E20" w:rsidRPr="00AA1E9F">
        <w:t xml:space="preserve">ational </w:t>
      </w:r>
      <w:r w:rsidR="00B56881">
        <w:t>A</w:t>
      </w:r>
      <w:r w:rsidR="00FA3E20" w:rsidRPr="00AA1E9F">
        <w:t xml:space="preserve">ssistance </w:t>
      </w:r>
      <w:r w:rsidR="00B56881">
        <w:t>A</w:t>
      </w:r>
      <w:r w:rsidR="00FA3E20" w:rsidRPr="00AA1E9F">
        <w:t xml:space="preserve">nimal </w:t>
      </w:r>
      <w:r w:rsidR="00B56881">
        <w:t>P</w:t>
      </w:r>
      <w:r w:rsidR="00FA3E20" w:rsidRPr="00AA1E9F">
        <w:t>rincipl</w:t>
      </w:r>
      <w:r w:rsidR="00240FD6" w:rsidRPr="00AA1E9F">
        <w:t>es</w:t>
      </w:r>
      <w:r w:rsidR="00250A64" w:rsidRPr="00AA1E9F">
        <w:t xml:space="preserve">. In this respect, we believe that it is important for the community to be confident that trainers and organisations who provide assistance animals have consistent, appropriate and recognisable skills in this area. This is necessary to ensure that assistance animals accessing public spaces display proper behaviour. Inappropriate behaviour by animals that do not meet minimum training standards only </w:t>
      </w:r>
      <w:r w:rsidR="000D7973" w:rsidRPr="00AA1E9F">
        <w:t>serve</w:t>
      </w:r>
      <w:r w:rsidR="0090195F">
        <w:t>s</w:t>
      </w:r>
      <w:r w:rsidR="000D7973" w:rsidRPr="00AA1E9F">
        <w:t xml:space="preserve"> to </w:t>
      </w:r>
      <w:r w:rsidR="00250A64" w:rsidRPr="00AA1E9F">
        <w:t>increase discrimination against handlers of well-trained assistance animals who are trying to access the community.</w:t>
      </w:r>
    </w:p>
    <w:p w14:paraId="796DC2B7" w14:textId="77777777" w:rsidR="00250A64" w:rsidRPr="00AA1E9F" w:rsidRDefault="00250A64" w:rsidP="00240A4D">
      <w:pPr>
        <w:contextualSpacing/>
        <w:jc w:val="both"/>
      </w:pPr>
    </w:p>
    <w:p w14:paraId="33847F1B" w14:textId="77777777" w:rsidR="00A53412" w:rsidRDefault="00403211" w:rsidP="00240A4D">
      <w:pPr>
        <w:contextualSpacing/>
        <w:jc w:val="both"/>
      </w:pPr>
      <w:r w:rsidRPr="00AA1E9F">
        <w:t>We have previously discussed the need for a</w:t>
      </w:r>
      <w:r w:rsidR="00173427" w:rsidRPr="00AA1E9F">
        <w:t>n exhaustive definition of the evidence that may be required in relation to assistance animals.</w:t>
      </w:r>
      <w:r w:rsidR="0024537D" w:rsidRPr="00AA1E9F">
        <w:t xml:space="preserve"> In our view, the only </w:t>
      </w:r>
      <w:r w:rsidR="00DB50C6" w:rsidRPr="00AA1E9F">
        <w:t xml:space="preserve">valid </w:t>
      </w:r>
      <w:r w:rsidR="00D421F5" w:rsidRPr="00AA1E9F">
        <w:t xml:space="preserve">forms of </w:t>
      </w:r>
      <w:r w:rsidR="00DB50C6" w:rsidRPr="00AA1E9F">
        <w:t xml:space="preserve">evidence that should be considered </w:t>
      </w:r>
      <w:r w:rsidR="00D421F5" w:rsidRPr="00AA1E9F">
        <w:t>are those that can be provided by prescribed training or accreditation organisations.</w:t>
      </w:r>
    </w:p>
    <w:p w14:paraId="3A8C6EB9" w14:textId="77777777" w:rsidR="00140D60" w:rsidRPr="00AA1E9F" w:rsidRDefault="00140D60" w:rsidP="00240A4D">
      <w:pPr>
        <w:contextualSpacing/>
        <w:jc w:val="both"/>
      </w:pPr>
    </w:p>
    <w:p w14:paraId="744BC56D" w14:textId="6F290EF2" w:rsidR="00A53412" w:rsidRPr="00AA1E9F" w:rsidRDefault="00E02F05" w:rsidP="00240A4D">
      <w:pPr>
        <w:contextualSpacing/>
        <w:jc w:val="both"/>
      </w:pPr>
      <w:r w:rsidRPr="00AA1E9F">
        <w:t xml:space="preserve">In view of the uncertainty and confusion that has been created by the lack of </w:t>
      </w:r>
      <w:r w:rsidR="007E0FB5" w:rsidRPr="00AA1E9F">
        <w:t xml:space="preserve">national </w:t>
      </w:r>
      <w:r w:rsidRPr="00AA1E9F">
        <w:t>consisten</w:t>
      </w:r>
      <w:r w:rsidR="00811FD4" w:rsidRPr="00AA1E9F">
        <w:t>cy</w:t>
      </w:r>
      <w:r w:rsidRPr="00AA1E9F">
        <w:t xml:space="preserve"> </w:t>
      </w:r>
      <w:r w:rsidR="006F600E" w:rsidRPr="00AA1E9F">
        <w:t>in legislation and re</w:t>
      </w:r>
      <w:r w:rsidR="00811FD4" w:rsidRPr="00AA1E9F">
        <w:t>gu</w:t>
      </w:r>
      <w:r w:rsidR="006F600E" w:rsidRPr="00AA1E9F">
        <w:t xml:space="preserve">lation </w:t>
      </w:r>
      <w:r w:rsidR="00BC0CA6" w:rsidRPr="00AA1E9F">
        <w:t>dealing with</w:t>
      </w:r>
      <w:r w:rsidR="006F600E" w:rsidRPr="00AA1E9F">
        <w:t xml:space="preserve"> assistance animals w</w:t>
      </w:r>
      <w:r w:rsidR="007948B9" w:rsidRPr="00AA1E9F">
        <w:t xml:space="preserve">e support the development of guidance material </w:t>
      </w:r>
      <w:r w:rsidR="001C027E" w:rsidRPr="00AA1E9F">
        <w:t>that clarifies how the DDA applies in a variety of specific situations. Fo</w:t>
      </w:r>
      <w:r w:rsidR="007756B5" w:rsidRPr="00AA1E9F">
        <w:t xml:space="preserve">r example, </w:t>
      </w:r>
      <w:r w:rsidR="00533A2B" w:rsidRPr="00AA1E9F">
        <w:t>we regularly hear from clients</w:t>
      </w:r>
      <w:r w:rsidR="00450030" w:rsidRPr="00AA1E9F">
        <w:t xml:space="preserve"> who use </w:t>
      </w:r>
      <w:r w:rsidR="00A152D1" w:rsidRPr="00AA1E9F">
        <w:t>a Seeing Eye Dog</w:t>
      </w:r>
      <w:r w:rsidR="00533A2B" w:rsidRPr="00AA1E9F">
        <w:t xml:space="preserve"> about the difficulties they </w:t>
      </w:r>
      <w:r w:rsidR="00CF1510" w:rsidRPr="00AA1E9F">
        <w:t>face</w:t>
      </w:r>
      <w:r w:rsidR="00533A2B" w:rsidRPr="00AA1E9F">
        <w:t xml:space="preserve"> when attending health and allied health facilities such as blood collection centres, or when they </w:t>
      </w:r>
      <w:r w:rsidR="00F14F5B" w:rsidRPr="00AA1E9F">
        <w:t xml:space="preserve">need to use ambulance </w:t>
      </w:r>
      <w:r w:rsidR="006F671F" w:rsidRPr="00AA1E9F">
        <w:t xml:space="preserve">or hospital </w:t>
      </w:r>
      <w:r w:rsidR="00F14F5B" w:rsidRPr="00AA1E9F">
        <w:t>services.</w:t>
      </w:r>
      <w:r w:rsidR="00C921CD" w:rsidRPr="00AA1E9F">
        <w:t xml:space="preserve"> In these </w:t>
      </w:r>
      <w:r w:rsidR="00140D60" w:rsidRPr="00AA1E9F">
        <w:t>situations,</w:t>
      </w:r>
      <w:r w:rsidR="00C921CD" w:rsidRPr="00AA1E9F">
        <w:t xml:space="preserve"> the</w:t>
      </w:r>
      <w:r w:rsidR="00A3439F" w:rsidRPr="00AA1E9F">
        <w:t>re</w:t>
      </w:r>
      <w:r w:rsidR="00C921CD" w:rsidRPr="00AA1E9F">
        <w:t xml:space="preserve"> </w:t>
      </w:r>
      <w:r w:rsidR="00A3439F" w:rsidRPr="00AA1E9F">
        <w:t>are</w:t>
      </w:r>
      <w:r w:rsidR="00C921CD" w:rsidRPr="00AA1E9F">
        <w:t xml:space="preserve"> </w:t>
      </w:r>
      <w:r w:rsidR="00BB12A2" w:rsidRPr="00AA1E9F">
        <w:t xml:space="preserve">incompatibilities between the DDA and </w:t>
      </w:r>
      <w:r w:rsidR="00140D60">
        <w:t>S</w:t>
      </w:r>
      <w:r w:rsidR="00BB12A2" w:rsidRPr="00AA1E9F">
        <w:t>tate/</w:t>
      </w:r>
      <w:r w:rsidR="00140D60">
        <w:t>T</w:t>
      </w:r>
      <w:r w:rsidR="00BB12A2" w:rsidRPr="00AA1E9F">
        <w:t>erritory legislation, and neither the user nor the service provider</w:t>
      </w:r>
      <w:r w:rsidR="00A3439F" w:rsidRPr="00AA1E9F">
        <w:t xml:space="preserve"> </w:t>
      </w:r>
      <w:r w:rsidR="00373737" w:rsidRPr="00AA1E9F">
        <w:t>has the knowledge to know how th</w:t>
      </w:r>
      <w:r w:rsidR="007B5A2C" w:rsidRPr="00AA1E9F">
        <w:t>ese</w:t>
      </w:r>
      <w:r w:rsidR="00373737" w:rsidRPr="00AA1E9F">
        <w:t xml:space="preserve"> incompatibilit</w:t>
      </w:r>
      <w:r w:rsidR="007B5A2C" w:rsidRPr="00AA1E9F">
        <w:t>ies</w:t>
      </w:r>
      <w:r w:rsidR="00373737" w:rsidRPr="00AA1E9F">
        <w:t xml:space="preserve"> should be resolved. Most likely the </w:t>
      </w:r>
      <w:r w:rsidR="0065508C" w:rsidRPr="00AA1E9F">
        <w:t>Seeing Eye Dog will be refused entry to the facility or the vehicle.</w:t>
      </w:r>
    </w:p>
    <w:p w14:paraId="24FEDDC6" w14:textId="77777777" w:rsidR="0065508C" w:rsidRPr="00AA1E9F" w:rsidRDefault="0065508C" w:rsidP="00240A4D">
      <w:pPr>
        <w:contextualSpacing/>
        <w:jc w:val="both"/>
      </w:pPr>
    </w:p>
    <w:p w14:paraId="3F585A7C" w14:textId="61BD56EE" w:rsidR="00196483" w:rsidRDefault="002A7DF3" w:rsidP="00240A4D">
      <w:pPr>
        <w:pStyle w:val="Heading2"/>
        <w:spacing w:before="0" w:after="0"/>
        <w:contextualSpacing/>
        <w:jc w:val="both"/>
        <w:rPr>
          <w:sz w:val="32"/>
          <w:szCs w:val="32"/>
          <w:lang w:val="en-AU"/>
        </w:rPr>
      </w:pPr>
      <w:r>
        <w:rPr>
          <w:sz w:val="32"/>
          <w:szCs w:val="32"/>
          <w:lang w:val="en-AU"/>
        </w:rPr>
        <w:lastRenderedPageBreak/>
        <w:t xml:space="preserve">Question 41: </w:t>
      </w:r>
      <w:r w:rsidR="00196483" w:rsidRPr="003C6009">
        <w:rPr>
          <w:sz w:val="32"/>
          <w:szCs w:val="32"/>
          <w:lang w:val="en-AU"/>
        </w:rPr>
        <w:t xml:space="preserve">Should there be minimum requirements for action plans (such as through guidelines) and what should the minimum requirements cover? </w:t>
      </w:r>
    </w:p>
    <w:p w14:paraId="136DAAD5" w14:textId="77777777" w:rsidR="00240A4D" w:rsidRPr="00240A4D" w:rsidRDefault="00240A4D" w:rsidP="00240A4D"/>
    <w:p w14:paraId="3E67E2FF" w14:textId="19F6BF5A" w:rsidR="00196483" w:rsidRDefault="002A7DF3" w:rsidP="00240A4D">
      <w:pPr>
        <w:pStyle w:val="Heading2"/>
        <w:spacing w:before="0" w:after="0"/>
        <w:contextualSpacing/>
        <w:jc w:val="both"/>
        <w:rPr>
          <w:sz w:val="32"/>
          <w:szCs w:val="32"/>
          <w:lang w:val="en-AU"/>
        </w:rPr>
      </w:pPr>
      <w:r>
        <w:rPr>
          <w:sz w:val="32"/>
          <w:szCs w:val="32"/>
          <w:lang w:val="en-AU"/>
        </w:rPr>
        <w:t xml:space="preserve">Question 42: </w:t>
      </w:r>
      <w:r w:rsidR="00196483" w:rsidRPr="003C6009">
        <w:rPr>
          <w:sz w:val="32"/>
          <w:szCs w:val="32"/>
          <w:lang w:val="en-AU"/>
        </w:rPr>
        <w:t xml:space="preserve">Should the Australian Human Rights Commission be able to reject action plans that fail to meet these requirements? </w:t>
      </w:r>
    </w:p>
    <w:p w14:paraId="2A929F48" w14:textId="77777777" w:rsidR="00240A4D" w:rsidRPr="00240A4D" w:rsidRDefault="00240A4D" w:rsidP="00240A4D"/>
    <w:p w14:paraId="327C2DEC" w14:textId="166114BF" w:rsidR="00196483" w:rsidRDefault="002A7DF3" w:rsidP="00240A4D">
      <w:pPr>
        <w:pStyle w:val="Heading2"/>
        <w:spacing w:before="0" w:after="0"/>
        <w:contextualSpacing/>
        <w:jc w:val="both"/>
        <w:rPr>
          <w:sz w:val="32"/>
          <w:szCs w:val="32"/>
          <w:lang w:val="en-AU"/>
        </w:rPr>
      </w:pPr>
      <w:r>
        <w:rPr>
          <w:sz w:val="32"/>
          <w:szCs w:val="32"/>
          <w:lang w:val="en-AU"/>
        </w:rPr>
        <w:t xml:space="preserve">Question 43: </w:t>
      </w:r>
      <w:r w:rsidR="00196483" w:rsidRPr="003C6009">
        <w:rPr>
          <w:sz w:val="32"/>
          <w:szCs w:val="32"/>
          <w:lang w:val="en-AU"/>
        </w:rPr>
        <w:t xml:space="preserve">Should there be a set period of time for which an action plan is valid? </w:t>
      </w:r>
    </w:p>
    <w:p w14:paraId="3D75503F" w14:textId="77777777" w:rsidR="00240A4D" w:rsidRPr="00240A4D" w:rsidRDefault="00240A4D" w:rsidP="00240A4D"/>
    <w:p w14:paraId="23586608" w14:textId="26CE84D9" w:rsidR="00403211" w:rsidRPr="003C6009" w:rsidRDefault="002A7DF3" w:rsidP="00240A4D">
      <w:pPr>
        <w:pStyle w:val="Heading2"/>
        <w:spacing w:before="0" w:after="0"/>
        <w:contextualSpacing/>
        <w:jc w:val="both"/>
        <w:rPr>
          <w:sz w:val="32"/>
          <w:szCs w:val="32"/>
          <w:lang w:val="en-AU"/>
        </w:rPr>
      </w:pPr>
      <w:r>
        <w:rPr>
          <w:sz w:val="32"/>
          <w:szCs w:val="32"/>
          <w:lang w:val="en-AU"/>
        </w:rPr>
        <w:t xml:space="preserve">Question 44: </w:t>
      </w:r>
      <w:r w:rsidR="00196483" w:rsidRPr="003C6009">
        <w:rPr>
          <w:sz w:val="32"/>
          <w:szCs w:val="32"/>
          <w:lang w:val="en-AU"/>
        </w:rPr>
        <w:t>Are there any other changes to the action plan process that you would recommend?</w:t>
      </w:r>
    </w:p>
    <w:p w14:paraId="3D2CA4E5" w14:textId="77777777" w:rsidR="00196483" w:rsidRPr="00AA1E9F" w:rsidRDefault="00196483" w:rsidP="00240A4D">
      <w:pPr>
        <w:contextualSpacing/>
        <w:jc w:val="both"/>
      </w:pPr>
    </w:p>
    <w:p w14:paraId="72F6F0D6" w14:textId="516CC82E" w:rsidR="00CE2EB2" w:rsidRPr="00AA1E9F" w:rsidRDefault="006D63CF" w:rsidP="00240A4D">
      <w:pPr>
        <w:contextualSpacing/>
        <w:jc w:val="both"/>
      </w:pPr>
      <w:r w:rsidRPr="00AA1E9F">
        <w:t xml:space="preserve">Vision Australia has assisted a variety of organisations </w:t>
      </w:r>
      <w:r w:rsidR="003434D4">
        <w:t xml:space="preserve">to </w:t>
      </w:r>
      <w:r w:rsidRPr="00AA1E9F">
        <w:t>develop or review their disa</w:t>
      </w:r>
      <w:r w:rsidR="00184307" w:rsidRPr="00AA1E9F">
        <w:t xml:space="preserve">bility action plans, and we have observed </w:t>
      </w:r>
      <w:r w:rsidR="00E407B7" w:rsidRPr="00AA1E9F">
        <w:t xml:space="preserve">a spectrum of approaches. At one end are organisations who regard their action plan as an important mechanism for </w:t>
      </w:r>
      <w:r w:rsidR="00C27E00" w:rsidRPr="00AA1E9F">
        <w:t>making progress on eliminating disability discrimination, promoting inclusion and equality</w:t>
      </w:r>
      <w:r w:rsidR="00981F5A" w:rsidRPr="00AA1E9F">
        <w:t>,</w:t>
      </w:r>
      <w:r w:rsidR="00B4552E" w:rsidRPr="00AA1E9F">
        <w:t xml:space="preserve"> and </w:t>
      </w:r>
      <w:r w:rsidR="00A91AC7" w:rsidRPr="00AA1E9F">
        <w:t xml:space="preserve">demonstrating </w:t>
      </w:r>
      <w:r w:rsidR="00B4552E" w:rsidRPr="00AA1E9F">
        <w:t>values-driven</w:t>
      </w:r>
      <w:r w:rsidR="00A91AC7" w:rsidRPr="00AA1E9F">
        <w:t xml:space="preserve"> corporate citizenship. At the other end of the spectrum are organisations and inst</w:t>
      </w:r>
      <w:r w:rsidR="00D64D92" w:rsidRPr="00AA1E9F">
        <w:t>it</w:t>
      </w:r>
      <w:r w:rsidR="00A91AC7" w:rsidRPr="00AA1E9F">
        <w:t>u</w:t>
      </w:r>
      <w:r w:rsidR="00A846EE" w:rsidRPr="00AA1E9F">
        <w:t>tions who treat their action plan as merely a risk minimi</w:t>
      </w:r>
      <w:r w:rsidR="006809A7">
        <w:t>s</w:t>
      </w:r>
      <w:r w:rsidR="00A846EE" w:rsidRPr="00AA1E9F">
        <w:t>ation strategy in the event of a DDA complaint, and who have no intention whatso</w:t>
      </w:r>
      <w:r w:rsidR="00CE2EB2" w:rsidRPr="00AA1E9F">
        <w:t>ever to carry out any of the actions detailed in the plan.</w:t>
      </w:r>
    </w:p>
    <w:p w14:paraId="4D3FDD36" w14:textId="77777777" w:rsidR="00CE2EB2" w:rsidRPr="00AA1E9F" w:rsidRDefault="00CE2EB2" w:rsidP="00240A4D">
      <w:pPr>
        <w:contextualSpacing/>
        <w:jc w:val="both"/>
      </w:pPr>
    </w:p>
    <w:p w14:paraId="4968ABA0" w14:textId="236DCBF8" w:rsidR="0012794D" w:rsidRPr="00AA1E9F" w:rsidRDefault="0012794D" w:rsidP="00240A4D">
      <w:pPr>
        <w:contextualSpacing/>
        <w:jc w:val="both"/>
      </w:pPr>
      <w:r w:rsidRPr="00AA1E9F">
        <w:t>In the middle are organisations who are</w:t>
      </w:r>
      <w:r w:rsidR="00042EC6" w:rsidRPr="00AA1E9F">
        <w:t xml:space="preserve"> basically well-inten</w:t>
      </w:r>
      <w:r w:rsidR="007576D0" w:rsidRPr="00AA1E9F">
        <w:t>ti</w:t>
      </w:r>
      <w:r w:rsidR="00042EC6" w:rsidRPr="00AA1E9F">
        <w:t>oned, developing disability action plans that they</w:t>
      </w:r>
      <w:r w:rsidR="005D0849" w:rsidRPr="00AA1E9F">
        <w:t xml:space="preserve"> launch with enthusiasm and fanfare, but then allow the plans to languish, eventually convincing themselves that the mere existence of a disability action plan is enough</w:t>
      </w:r>
      <w:r w:rsidR="007D0BFC" w:rsidRPr="00AA1E9F">
        <w:t>.</w:t>
      </w:r>
    </w:p>
    <w:p w14:paraId="1905E2FB" w14:textId="77777777" w:rsidR="00EA6745" w:rsidRPr="00AA1E9F" w:rsidRDefault="00EA6745" w:rsidP="00240A4D">
      <w:pPr>
        <w:contextualSpacing/>
        <w:jc w:val="both"/>
      </w:pPr>
    </w:p>
    <w:p w14:paraId="0BBB8382" w14:textId="5F4C7E11" w:rsidR="006D63CF" w:rsidRPr="00AA1E9F" w:rsidRDefault="00C562AA" w:rsidP="00240A4D">
      <w:pPr>
        <w:contextualSpacing/>
        <w:jc w:val="both"/>
      </w:pPr>
      <w:r w:rsidRPr="00AA1E9F">
        <w:t>Given t</w:t>
      </w:r>
      <w:r w:rsidR="00CE2EB2" w:rsidRPr="00AA1E9F">
        <w:t>hat there is such a broad spectrum of app</w:t>
      </w:r>
      <w:r w:rsidR="000C3046" w:rsidRPr="00AA1E9F">
        <w:t>roaches</w:t>
      </w:r>
      <w:r w:rsidR="000633DB" w:rsidRPr="00AA1E9F">
        <w:t>, as well as the relatively small number of disability action plans that have been registered with the AHRC (65)</w:t>
      </w:r>
      <w:r w:rsidR="00621CF1" w:rsidRPr="00AA1E9F">
        <w:t>,</w:t>
      </w:r>
      <w:r w:rsidR="000C3046" w:rsidRPr="00AA1E9F">
        <w:t xml:space="preserve"> </w:t>
      </w:r>
      <w:r w:rsidR="00621CF1" w:rsidRPr="00AA1E9F">
        <w:t>it is reasonable to conclude</w:t>
      </w:r>
      <w:r w:rsidR="000C3046" w:rsidRPr="00AA1E9F">
        <w:t xml:space="preserve"> that </w:t>
      </w:r>
      <w:r w:rsidR="00621CF1" w:rsidRPr="00AA1E9F">
        <w:t xml:space="preserve">overall </w:t>
      </w:r>
      <w:r w:rsidR="000C3046" w:rsidRPr="00AA1E9F">
        <w:t>disability action plans h</w:t>
      </w:r>
      <w:r w:rsidR="00974E5C" w:rsidRPr="00AA1E9F">
        <w:t xml:space="preserve">ave been </w:t>
      </w:r>
      <w:r w:rsidR="00B06792" w:rsidRPr="00AA1E9F">
        <w:t>less</w:t>
      </w:r>
      <w:r w:rsidR="00974E5C" w:rsidRPr="00AA1E9F">
        <w:t xml:space="preserve"> effective in promoting the objects of the DDA as was originally en</w:t>
      </w:r>
      <w:r w:rsidR="00AF76C3" w:rsidRPr="00AA1E9F">
        <w:t xml:space="preserve">visaged. We therefore support changes to the way </w:t>
      </w:r>
      <w:r w:rsidR="00E5476E" w:rsidRPr="00AA1E9F">
        <w:t>disability action plans are defined and the process by which they are mon</w:t>
      </w:r>
      <w:r w:rsidR="00026CA3" w:rsidRPr="00AA1E9F">
        <w:t>itored.</w:t>
      </w:r>
    </w:p>
    <w:p w14:paraId="078B82B8" w14:textId="77777777" w:rsidR="00026CA3" w:rsidRPr="00AA1E9F" w:rsidRDefault="00026CA3" w:rsidP="00240A4D">
      <w:pPr>
        <w:contextualSpacing/>
        <w:jc w:val="both"/>
      </w:pPr>
    </w:p>
    <w:p w14:paraId="551AE2EC" w14:textId="420C4C8F" w:rsidR="00196483" w:rsidRPr="00AA1E9F" w:rsidRDefault="00045D8F" w:rsidP="00240A4D">
      <w:pPr>
        <w:contextualSpacing/>
        <w:jc w:val="both"/>
      </w:pPr>
      <w:r w:rsidRPr="00AA1E9F">
        <w:t>We support giving the AHRC an expanded role, including the authority to reje</w:t>
      </w:r>
      <w:r w:rsidR="006C413C" w:rsidRPr="00AA1E9F">
        <w:t>ct disability action plans. As such, we think that the AHRC is best placed to determine what the minim</w:t>
      </w:r>
      <w:r w:rsidR="007F2AA4" w:rsidRPr="00AA1E9F">
        <w:t>um</w:t>
      </w:r>
      <w:r w:rsidR="006C413C" w:rsidRPr="00AA1E9F">
        <w:t xml:space="preserve"> requ</w:t>
      </w:r>
      <w:r w:rsidR="00D02DD2" w:rsidRPr="00AA1E9F">
        <w:t>irements of these plans should be</w:t>
      </w:r>
      <w:r w:rsidR="00584CFA" w:rsidRPr="00AA1E9F">
        <w:t>, perhaps by</w:t>
      </w:r>
      <w:r w:rsidR="00E401B0" w:rsidRPr="00AA1E9F">
        <w:t xml:space="preserve"> using a similar approach to </w:t>
      </w:r>
      <w:r w:rsidR="00CC408D" w:rsidRPr="00AA1E9F">
        <w:t xml:space="preserve">that taken in </w:t>
      </w:r>
      <w:r w:rsidR="006A035A" w:rsidRPr="00AA1E9F">
        <w:t>T</w:t>
      </w:r>
      <w:r w:rsidR="00D037BB" w:rsidRPr="00AA1E9F">
        <w:t>asmania’s Disability Rights, Inclusion and Safeguarding Act 2024</w:t>
      </w:r>
      <w:r w:rsidR="00D02DD2" w:rsidRPr="00AA1E9F">
        <w:t xml:space="preserve">. </w:t>
      </w:r>
      <w:r w:rsidR="00A325D9" w:rsidRPr="00AA1E9F">
        <w:t>At the very least, h</w:t>
      </w:r>
      <w:r w:rsidR="00D02DD2" w:rsidRPr="00AA1E9F">
        <w:t xml:space="preserve">owever, there must be a requirement </w:t>
      </w:r>
      <w:r w:rsidR="00F804EA" w:rsidRPr="00AA1E9F">
        <w:t>to demonstrate how the actions in the plan will promote the objects of the DDA</w:t>
      </w:r>
      <w:r w:rsidR="00B17BF1" w:rsidRPr="00AA1E9F">
        <w:t xml:space="preserve"> and how they have been developed through consultation with the disability community.</w:t>
      </w:r>
      <w:r w:rsidR="006A227D">
        <w:t xml:space="preserve"> T</w:t>
      </w:r>
      <w:r w:rsidR="00733E18" w:rsidRPr="00AA1E9F">
        <w:t xml:space="preserve">here must also be a requirement </w:t>
      </w:r>
      <w:r w:rsidR="00D02DD2" w:rsidRPr="00AA1E9F">
        <w:t>for regular and public reporting on prog</w:t>
      </w:r>
      <w:r w:rsidR="008D6B50" w:rsidRPr="00AA1E9F">
        <w:t xml:space="preserve">ress in </w:t>
      </w:r>
      <w:r w:rsidR="00733E18" w:rsidRPr="00AA1E9F">
        <w:t>impl</w:t>
      </w:r>
      <w:r w:rsidR="00B06361" w:rsidRPr="00AA1E9F">
        <w:t>ementing the plan.</w:t>
      </w:r>
      <w:r w:rsidR="00745B79" w:rsidRPr="00AA1E9F">
        <w:t xml:space="preserve"> The AHRC should be required to provide a list of </w:t>
      </w:r>
      <w:r w:rsidR="00B20465" w:rsidRPr="00AA1E9F">
        <w:t>organisations who have not met these reporting requirements as part of the AHRC’s parliamentary reporting.</w:t>
      </w:r>
    </w:p>
    <w:p w14:paraId="082BBEB2" w14:textId="77777777" w:rsidR="006B293F" w:rsidRPr="00AA1E9F" w:rsidRDefault="006B293F" w:rsidP="00240A4D">
      <w:pPr>
        <w:contextualSpacing/>
        <w:jc w:val="both"/>
      </w:pPr>
    </w:p>
    <w:p w14:paraId="4971D6E9" w14:textId="6CE1EB94" w:rsidR="006B293F" w:rsidRPr="00AA1E9F" w:rsidRDefault="006B293F" w:rsidP="00240A4D">
      <w:pPr>
        <w:contextualSpacing/>
        <w:jc w:val="both"/>
      </w:pPr>
      <w:r w:rsidRPr="00AA1E9F">
        <w:lastRenderedPageBreak/>
        <w:t>We also beli</w:t>
      </w:r>
      <w:r w:rsidR="008412E7" w:rsidRPr="00AA1E9F">
        <w:t>e</w:t>
      </w:r>
      <w:r w:rsidRPr="00AA1E9F">
        <w:t>ve that th</w:t>
      </w:r>
      <w:r w:rsidR="008412E7" w:rsidRPr="00AA1E9F">
        <w:t xml:space="preserve">e </w:t>
      </w:r>
      <w:r w:rsidR="00D45B91" w:rsidRPr="00AA1E9F">
        <w:t>relevance of a disability action plan in assessing claims of unjustifiable hardship should be clarified and strengthened</w:t>
      </w:r>
      <w:r w:rsidR="00595A75" w:rsidRPr="00AA1E9F">
        <w:t xml:space="preserve"> to create a clear expectation that </w:t>
      </w:r>
      <w:r w:rsidR="006D5800" w:rsidRPr="00AA1E9F">
        <w:t>demonstrable progress in implementing the plan will be the</w:t>
      </w:r>
      <w:r w:rsidR="00F9796F" w:rsidRPr="00AA1E9F">
        <w:t xml:space="preserve"> primary consideration.</w:t>
      </w:r>
    </w:p>
    <w:p w14:paraId="2D25A6A2" w14:textId="77777777" w:rsidR="00F9796F" w:rsidRPr="00AA1E9F" w:rsidRDefault="00F9796F" w:rsidP="00240A4D">
      <w:pPr>
        <w:contextualSpacing/>
        <w:jc w:val="both"/>
      </w:pPr>
    </w:p>
    <w:p w14:paraId="73DBAF97" w14:textId="34C0C46D" w:rsidR="001D10D2" w:rsidRDefault="002A7DF3" w:rsidP="00240A4D">
      <w:pPr>
        <w:pStyle w:val="Heading2"/>
        <w:spacing w:before="0" w:after="0"/>
        <w:contextualSpacing/>
        <w:jc w:val="both"/>
        <w:rPr>
          <w:sz w:val="32"/>
          <w:szCs w:val="32"/>
          <w:lang w:val="en-AU"/>
        </w:rPr>
      </w:pPr>
      <w:r>
        <w:rPr>
          <w:sz w:val="32"/>
          <w:szCs w:val="32"/>
          <w:lang w:val="en-AU"/>
        </w:rPr>
        <w:t xml:space="preserve">Question 45: </w:t>
      </w:r>
      <w:r w:rsidR="001D10D2" w:rsidRPr="003C6009">
        <w:rPr>
          <w:sz w:val="32"/>
          <w:szCs w:val="32"/>
          <w:lang w:val="en-AU"/>
        </w:rPr>
        <w:t xml:space="preserve">How could compliance with and enforcement of the Disability Standards be improved? </w:t>
      </w:r>
    </w:p>
    <w:p w14:paraId="4F101BBE" w14:textId="77777777" w:rsidR="00240A4D" w:rsidRPr="00240A4D" w:rsidRDefault="00240A4D" w:rsidP="00240A4D"/>
    <w:p w14:paraId="18C1F171" w14:textId="42A86A3A" w:rsidR="001D10D2" w:rsidRDefault="002A7DF3" w:rsidP="00240A4D">
      <w:pPr>
        <w:pStyle w:val="Heading2"/>
        <w:spacing w:before="0" w:after="0"/>
        <w:contextualSpacing/>
        <w:jc w:val="both"/>
        <w:rPr>
          <w:sz w:val="32"/>
          <w:szCs w:val="32"/>
          <w:lang w:val="en-AU"/>
        </w:rPr>
      </w:pPr>
      <w:r>
        <w:rPr>
          <w:sz w:val="32"/>
          <w:szCs w:val="32"/>
          <w:lang w:val="en-AU"/>
        </w:rPr>
        <w:t xml:space="preserve">Question 46: </w:t>
      </w:r>
      <w:r w:rsidR="001D10D2" w:rsidRPr="003C6009">
        <w:rPr>
          <w:sz w:val="32"/>
          <w:szCs w:val="32"/>
          <w:lang w:val="en-AU"/>
        </w:rPr>
        <w:t xml:space="preserve">Should the Disability Discrimination Act be amended to encourage relevant duty holders to self- report on their compliance with the Disability Standard(s) in disability action plans? </w:t>
      </w:r>
    </w:p>
    <w:p w14:paraId="368C7CFF" w14:textId="77777777" w:rsidR="00240A4D" w:rsidRPr="00240A4D" w:rsidRDefault="00240A4D" w:rsidP="00240A4D"/>
    <w:p w14:paraId="6671569C" w14:textId="02FE811F" w:rsidR="0010792B" w:rsidRPr="003C6009" w:rsidRDefault="002A7DF3" w:rsidP="00240A4D">
      <w:pPr>
        <w:pStyle w:val="Heading2"/>
        <w:spacing w:before="0" w:after="0"/>
        <w:contextualSpacing/>
        <w:jc w:val="both"/>
        <w:rPr>
          <w:sz w:val="32"/>
          <w:szCs w:val="32"/>
          <w:lang w:val="en-AU"/>
        </w:rPr>
      </w:pPr>
      <w:r>
        <w:rPr>
          <w:sz w:val="32"/>
          <w:szCs w:val="32"/>
          <w:lang w:val="en-AU"/>
        </w:rPr>
        <w:t xml:space="preserve">Question 47: </w:t>
      </w:r>
      <w:r w:rsidR="001D10D2" w:rsidRPr="003C6009">
        <w:rPr>
          <w:sz w:val="32"/>
          <w:szCs w:val="32"/>
          <w:lang w:val="en-AU"/>
        </w:rPr>
        <w:t>Could the Australian Human Rights Commission provide additional guidance to duty holders regarding how to self</w:t>
      </w:r>
      <w:r w:rsidR="001D10D2" w:rsidRPr="003C6009">
        <w:rPr>
          <w:rFonts w:ascii="Cambria Math" w:hAnsi="Cambria Math" w:cs="Cambria Math"/>
          <w:sz w:val="32"/>
          <w:szCs w:val="32"/>
          <w:lang w:val="en-AU"/>
        </w:rPr>
        <w:t>‑</w:t>
      </w:r>
      <w:r w:rsidR="001D10D2" w:rsidRPr="003C6009">
        <w:rPr>
          <w:sz w:val="32"/>
          <w:szCs w:val="32"/>
          <w:lang w:val="en-AU"/>
        </w:rPr>
        <w:t>report on the Disability Standards in disability action plans?</w:t>
      </w:r>
    </w:p>
    <w:p w14:paraId="1008EA6D" w14:textId="77777777" w:rsidR="00F9796F" w:rsidRPr="00AA1E9F" w:rsidRDefault="00F9796F" w:rsidP="00240A4D">
      <w:pPr>
        <w:contextualSpacing/>
        <w:jc w:val="both"/>
      </w:pPr>
    </w:p>
    <w:p w14:paraId="410C2EDE" w14:textId="5F99AA2D" w:rsidR="00982189" w:rsidRPr="00AA1E9F" w:rsidRDefault="002E5ACD" w:rsidP="00240A4D">
      <w:pPr>
        <w:contextualSpacing/>
        <w:jc w:val="both"/>
      </w:pPr>
      <w:r w:rsidRPr="00AA1E9F">
        <w:t>Despite</w:t>
      </w:r>
      <w:r w:rsidR="00A62CAC" w:rsidRPr="00AA1E9F">
        <w:t xml:space="preserve"> some disappointing systemic failures to achieve compliance targets, </w:t>
      </w:r>
      <w:r w:rsidR="00A3244F" w:rsidRPr="00AA1E9F">
        <w:t xml:space="preserve">our view is that the </w:t>
      </w:r>
      <w:r w:rsidR="001D3D7A">
        <w:t>D</w:t>
      </w:r>
      <w:r w:rsidR="00A3244F" w:rsidRPr="00AA1E9F">
        <w:t xml:space="preserve">isability </w:t>
      </w:r>
      <w:r w:rsidR="001D3D7A">
        <w:t>S</w:t>
      </w:r>
      <w:r w:rsidR="00A3244F" w:rsidRPr="00AA1E9F">
        <w:t xml:space="preserve">tandards have been an important mechanism for </w:t>
      </w:r>
      <w:r w:rsidR="00AA176D" w:rsidRPr="00AA1E9F">
        <w:t>making progress in the elimination of barriers to the full and equal participation of people with disabil</w:t>
      </w:r>
      <w:r w:rsidR="00890B38" w:rsidRPr="00AA1E9F">
        <w:t>i</w:t>
      </w:r>
      <w:r w:rsidR="00AA176D" w:rsidRPr="00AA1E9F">
        <w:t>ty in society.</w:t>
      </w:r>
      <w:r w:rsidR="00AB4EF2" w:rsidRPr="00AA1E9F">
        <w:t xml:space="preserve"> The effectiveness of the standards has nevertheless been constrained</w:t>
      </w:r>
      <w:r w:rsidR="006A1D65" w:rsidRPr="00AA1E9F">
        <w:t xml:space="preserve"> by the reliance on the DDA’s individual complaints mechanism.</w:t>
      </w:r>
    </w:p>
    <w:p w14:paraId="0FFAB121" w14:textId="77777777" w:rsidR="006A1D65" w:rsidRPr="00AA1E9F" w:rsidRDefault="006A1D65" w:rsidP="00240A4D">
      <w:pPr>
        <w:contextualSpacing/>
        <w:jc w:val="both"/>
      </w:pPr>
    </w:p>
    <w:p w14:paraId="3CA1C6C2" w14:textId="5ED7A409" w:rsidR="006A1D65" w:rsidRPr="00AA1E9F" w:rsidRDefault="006A1D65" w:rsidP="00240A4D">
      <w:pPr>
        <w:contextualSpacing/>
        <w:jc w:val="both"/>
      </w:pPr>
      <w:r w:rsidRPr="00AA1E9F">
        <w:t>With</w:t>
      </w:r>
      <w:r w:rsidR="00D14D94" w:rsidRPr="00AA1E9F">
        <w:t xml:space="preserve"> </w:t>
      </w:r>
      <w:r w:rsidRPr="00AA1E9F">
        <w:t>th</w:t>
      </w:r>
      <w:r w:rsidR="00D14D94" w:rsidRPr="00AA1E9F">
        <w:t xml:space="preserve">e </w:t>
      </w:r>
      <w:r w:rsidRPr="00AA1E9F">
        <w:t>exception o</w:t>
      </w:r>
      <w:r w:rsidR="00D14D94" w:rsidRPr="00AA1E9F">
        <w:t>f</w:t>
      </w:r>
      <w:r w:rsidRPr="00AA1E9F">
        <w:t xml:space="preserve"> the </w:t>
      </w:r>
      <w:r w:rsidR="001D3D7A">
        <w:t>E</w:t>
      </w:r>
      <w:r w:rsidRPr="00AA1E9F">
        <w:t xml:space="preserve">ducation </w:t>
      </w:r>
      <w:r w:rsidR="001D3D7A">
        <w:t>S</w:t>
      </w:r>
      <w:r w:rsidRPr="00AA1E9F">
        <w:t xml:space="preserve">tandards, it is very difficult </w:t>
      </w:r>
      <w:r w:rsidR="005B7E2F" w:rsidRPr="00AA1E9F">
        <w:t>for a person with a disability to assess whether a particular barrier or situation they have encountered cons</w:t>
      </w:r>
      <w:r w:rsidR="008B4297" w:rsidRPr="00AA1E9F">
        <w:t>t</w:t>
      </w:r>
      <w:r w:rsidR="005B7E2F" w:rsidRPr="00AA1E9F">
        <w:t xml:space="preserve">itutes a breach of the standards. This is because the Australian Standards that are frequently and normatively referenced in both the </w:t>
      </w:r>
      <w:r w:rsidR="00BE1A83" w:rsidRPr="00AA1E9F">
        <w:t>transport and premises standards are not freely available. For people who are blind or have low vision the situation is even worse, because none of the referenced Australian Standards are available in accessible formats.</w:t>
      </w:r>
    </w:p>
    <w:p w14:paraId="206184B4" w14:textId="77777777" w:rsidR="00CE10BC" w:rsidRPr="00AA1E9F" w:rsidRDefault="00CE10BC" w:rsidP="00240A4D">
      <w:pPr>
        <w:contextualSpacing/>
        <w:jc w:val="both"/>
      </w:pPr>
    </w:p>
    <w:p w14:paraId="47D8A022" w14:textId="36E967FA" w:rsidR="00CE10BC" w:rsidRPr="00AA1E9F" w:rsidRDefault="00E43889" w:rsidP="00240A4D">
      <w:pPr>
        <w:contextualSpacing/>
        <w:jc w:val="both"/>
      </w:pPr>
      <w:r w:rsidRPr="00AA1E9F">
        <w:t xml:space="preserve">If the individual </w:t>
      </w:r>
      <w:r w:rsidR="00A91ED9" w:rsidRPr="00AA1E9F">
        <w:t>complaints mechanism is to be effective, there must be a requirement, expressed explicitly in the DDA if necessary, that all referenced standards, incl</w:t>
      </w:r>
      <w:r w:rsidR="008442D6" w:rsidRPr="00AA1E9F">
        <w:t>uding Australian Standards, must be freely available</w:t>
      </w:r>
      <w:r w:rsidR="0082429D" w:rsidRPr="00AA1E9F">
        <w:t>, and must be available in accessible formats.</w:t>
      </w:r>
    </w:p>
    <w:p w14:paraId="17C0D2E1" w14:textId="77777777" w:rsidR="0082429D" w:rsidRPr="00AA1E9F" w:rsidRDefault="0082429D" w:rsidP="00240A4D">
      <w:pPr>
        <w:contextualSpacing/>
        <w:jc w:val="both"/>
      </w:pPr>
    </w:p>
    <w:p w14:paraId="10901625" w14:textId="3E645DE0" w:rsidR="0082429D" w:rsidRPr="00AA1E9F" w:rsidRDefault="0082429D" w:rsidP="00240A4D">
      <w:pPr>
        <w:contextualSpacing/>
        <w:jc w:val="both"/>
      </w:pPr>
      <w:r w:rsidRPr="00AA1E9F">
        <w:t>In 20</w:t>
      </w:r>
      <w:r w:rsidR="002C4FDE">
        <w:t>20</w:t>
      </w:r>
      <w:r w:rsidRPr="00AA1E9F">
        <w:t xml:space="preserve"> Vision Australia conducted a survey of </w:t>
      </w:r>
      <w:r w:rsidR="00B316FF" w:rsidRPr="00AA1E9F">
        <w:t>parents of school students w</w:t>
      </w:r>
      <w:r w:rsidR="00F466FE" w:rsidRPr="00AA1E9F">
        <w:t>ho are blind or have low vision. We aske</w:t>
      </w:r>
      <w:r w:rsidR="003434D4">
        <w:t>d</w:t>
      </w:r>
      <w:r w:rsidR="00F466FE" w:rsidRPr="00AA1E9F">
        <w:t xml:space="preserve"> a number of questions relating to their awareness and use of the </w:t>
      </w:r>
      <w:r w:rsidR="005B4F1A">
        <w:t>E</w:t>
      </w:r>
      <w:r w:rsidR="00F466FE" w:rsidRPr="00AA1E9F">
        <w:t xml:space="preserve">ducation </w:t>
      </w:r>
      <w:r w:rsidR="005B4F1A">
        <w:t>S</w:t>
      </w:r>
      <w:r w:rsidR="00F466FE" w:rsidRPr="00AA1E9F">
        <w:t xml:space="preserve">tandards. </w:t>
      </w:r>
      <w:r w:rsidR="00B852B1" w:rsidRPr="00AA1E9F">
        <w:t>No respondent reported lod</w:t>
      </w:r>
      <w:r w:rsidR="00762226" w:rsidRPr="00AA1E9F">
        <w:t>g</w:t>
      </w:r>
      <w:r w:rsidR="00B852B1" w:rsidRPr="00AA1E9F">
        <w:t>ing a complaint alleging a breach of the standards. This was partly because many did not know about them, but mainly because of</w:t>
      </w:r>
      <w:r w:rsidR="00721519" w:rsidRPr="00AA1E9F">
        <w:t xml:space="preserve"> the protracted nature of the complaints process. </w:t>
      </w:r>
      <w:r w:rsidR="00A41522" w:rsidRPr="00AA1E9F">
        <w:t>In the</w:t>
      </w:r>
      <w:r w:rsidR="00C73B9E" w:rsidRPr="00AA1E9F">
        <w:t xml:space="preserve"> </w:t>
      </w:r>
      <w:r w:rsidR="00721519" w:rsidRPr="00AA1E9F">
        <w:t xml:space="preserve">6-12 months </w:t>
      </w:r>
      <w:r w:rsidR="00C73B9E" w:rsidRPr="00AA1E9F">
        <w:t xml:space="preserve">it takes </w:t>
      </w:r>
      <w:r w:rsidR="00CB1C4D" w:rsidRPr="00AA1E9F">
        <w:t xml:space="preserve">for the AHRC </w:t>
      </w:r>
      <w:r w:rsidR="00721519" w:rsidRPr="00AA1E9F">
        <w:t xml:space="preserve">to </w:t>
      </w:r>
      <w:r w:rsidR="009166E4" w:rsidRPr="00AA1E9F">
        <w:t>process</w:t>
      </w:r>
      <w:r w:rsidR="00C73B9E" w:rsidRPr="00AA1E9F">
        <w:t xml:space="preserve"> a complaint, the educational </w:t>
      </w:r>
      <w:r w:rsidR="004616AC" w:rsidRPr="00AA1E9F">
        <w:t xml:space="preserve">context for the student alleging a breach of the standards will have changed: the </w:t>
      </w:r>
      <w:r w:rsidR="00A57655" w:rsidRPr="00AA1E9F">
        <w:t xml:space="preserve">discriminatory behaviour or practices may have continued unabated causing stress and disadvantage for the student, or the student may have </w:t>
      </w:r>
      <w:r w:rsidR="00F744AC" w:rsidRPr="00AA1E9F">
        <w:t xml:space="preserve">moved to a </w:t>
      </w:r>
      <w:r w:rsidR="004356D6" w:rsidRPr="00AA1E9F">
        <w:t>different</w:t>
      </w:r>
      <w:r w:rsidR="00F744AC" w:rsidRPr="00AA1E9F">
        <w:t xml:space="preserve"> class or ev</w:t>
      </w:r>
      <w:r w:rsidR="00121705" w:rsidRPr="00AA1E9F">
        <w:t>e</w:t>
      </w:r>
      <w:r w:rsidR="00F744AC" w:rsidRPr="00AA1E9F">
        <w:t xml:space="preserve">n a </w:t>
      </w:r>
      <w:r w:rsidR="004356D6" w:rsidRPr="00AA1E9F">
        <w:t>different</w:t>
      </w:r>
      <w:r w:rsidR="00F744AC" w:rsidRPr="00AA1E9F">
        <w:t xml:space="preserve"> school where the original breach of the standards may now be </w:t>
      </w:r>
      <w:r w:rsidR="00F744AC" w:rsidRPr="00AA1E9F">
        <w:lastRenderedPageBreak/>
        <w:t>irrelevant.</w:t>
      </w:r>
      <w:r w:rsidR="003A1BD2" w:rsidRPr="00AA1E9F">
        <w:t xml:space="preserve"> We have heard from students in the higher education sector who have been compelled to withdraw from their studies altogether because of the impact of practices that were clearly in breach of the standards.</w:t>
      </w:r>
    </w:p>
    <w:p w14:paraId="638EB78F" w14:textId="77777777" w:rsidR="003A1BD2" w:rsidRPr="00AA1E9F" w:rsidRDefault="003A1BD2" w:rsidP="00240A4D">
      <w:pPr>
        <w:contextualSpacing/>
        <w:jc w:val="both"/>
      </w:pPr>
    </w:p>
    <w:p w14:paraId="44547903" w14:textId="2BF6C762" w:rsidR="00FA6CAE" w:rsidRPr="00AA1E9F" w:rsidRDefault="00FA6CAE" w:rsidP="00240A4D">
      <w:pPr>
        <w:contextualSpacing/>
        <w:jc w:val="both"/>
      </w:pPr>
      <w:r w:rsidRPr="00AA1E9F">
        <w:t>As we have noted previously</w:t>
      </w:r>
      <w:r w:rsidR="004F4D5B" w:rsidRPr="00AA1E9F">
        <w:t xml:space="preserve"> and will note again below, the DDA complaints mechanism </w:t>
      </w:r>
      <w:r w:rsidR="003E3C67" w:rsidRPr="00AA1E9F">
        <w:t xml:space="preserve">requires a major overhaul if it is to regain its effectiveness. </w:t>
      </w:r>
      <w:r w:rsidR="007F13B4" w:rsidRPr="00AA1E9F">
        <w:t>We think it is essential for complem</w:t>
      </w:r>
      <w:r w:rsidR="00F429C9" w:rsidRPr="00AA1E9F">
        <w:t>entary enforcement mechanisms to be developed for the three disability standards.</w:t>
      </w:r>
      <w:r w:rsidR="008C36CE" w:rsidRPr="00AA1E9F">
        <w:t xml:space="preserve"> We support extending the powers of the AHRC to conduct </w:t>
      </w:r>
      <w:r w:rsidR="008A7544" w:rsidRPr="00AA1E9F">
        <w:t xml:space="preserve">and enforce the outcomes </w:t>
      </w:r>
      <w:r w:rsidR="00261BC4" w:rsidRPr="00AA1E9F">
        <w:t xml:space="preserve">of </w:t>
      </w:r>
      <w:r w:rsidR="008C36CE" w:rsidRPr="00AA1E9F">
        <w:t>inquirie</w:t>
      </w:r>
      <w:r w:rsidR="00261BC4" w:rsidRPr="00AA1E9F">
        <w:t xml:space="preserve">s, and </w:t>
      </w:r>
      <w:r w:rsidR="008F1931" w:rsidRPr="00AA1E9F">
        <w:t>to enforce compliance with the standards through the positive duty obligation</w:t>
      </w:r>
      <w:r w:rsidR="00811EB2" w:rsidRPr="00AA1E9F">
        <w:t>.</w:t>
      </w:r>
    </w:p>
    <w:p w14:paraId="4E277B53" w14:textId="77777777" w:rsidR="00811EB2" w:rsidRPr="00AA1E9F" w:rsidRDefault="00811EB2" w:rsidP="00240A4D">
      <w:pPr>
        <w:contextualSpacing/>
        <w:jc w:val="both"/>
      </w:pPr>
    </w:p>
    <w:p w14:paraId="7DB066CD" w14:textId="074C69C7" w:rsidR="00811EB2" w:rsidRPr="00AA1E9F" w:rsidRDefault="00CF7224" w:rsidP="00240A4D">
      <w:pPr>
        <w:contextualSpacing/>
        <w:jc w:val="both"/>
      </w:pPr>
      <w:r w:rsidRPr="00AA1E9F">
        <w:t>While we are not opposed to increasing requirements for reporting comp</w:t>
      </w:r>
      <w:r w:rsidR="00C443DE" w:rsidRPr="00AA1E9F">
        <w:t xml:space="preserve">liance with the standards, we </w:t>
      </w:r>
      <w:r w:rsidR="00CD2F1A" w:rsidRPr="00AA1E9F">
        <w:t>have concern</w:t>
      </w:r>
      <w:r w:rsidR="00B46ED1">
        <w:t>s</w:t>
      </w:r>
      <w:r w:rsidR="00CD2F1A" w:rsidRPr="00AA1E9F">
        <w:t xml:space="preserve"> that the focus may shift from </w:t>
      </w:r>
      <w:r w:rsidR="007066EE" w:rsidRPr="00AA1E9F">
        <w:t xml:space="preserve">working towards compliance to reporting about it, </w:t>
      </w:r>
      <w:r w:rsidR="00EA2B3A" w:rsidRPr="00AA1E9F">
        <w:t>especially if there are no consequences for non-compli</w:t>
      </w:r>
      <w:r w:rsidR="001C31B4" w:rsidRPr="00AA1E9F">
        <w:t>a</w:t>
      </w:r>
      <w:r w:rsidR="00EA2B3A" w:rsidRPr="00AA1E9F">
        <w:t>nce.</w:t>
      </w:r>
      <w:r w:rsidR="001C31B4" w:rsidRPr="00AA1E9F">
        <w:t xml:space="preserve"> Similarly, we are </w:t>
      </w:r>
      <w:r w:rsidR="005A7101" w:rsidRPr="00AA1E9F">
        <w:t>yet to be persuaded that legislative encouragement</w:t>
      </w:r>
      <w:r w:rsidR="001361A9" w:rsidRPr="00AA1E9F">
        <w:t xml:space="preserve"> to report compli</w:t>
      </w:r>
      <w:r w:rsidR="0013516A" w:rsidRPr="00AA1E9F">
        <w:t>a</w:t>
      </w:r>
      <w:r w:rsidR="001361A9" w:rsidRPr="00AA1E9F">
        <w:t>n</w:t>
      </w:r>
      <w:r w:rsidR="0013516A" w:rsidRPr="00AA1E9F">
        <w:t>c</w:t>
      </w:r>
      <w:r w:rsidR="001361A9" w:rsidRPr="00AA1E9F">
        <w:t xml:space="preserve">e through action plans would have </w:t>
      </w:r>
      <w:r w:rsidR="0013516A" w:rsidRPr="00AA1E9F">
        <w:t xml:space="preserve">a </w:t>
      </w:r>
      <w:r w:rsidR="001361A9" w:rsidRPr="00AA1E9F">
        <w:t>tangible benefit</w:t>
      </w:r>
      <w:r w:rsidR="00F80BE3" w:rsidRPr="00AA1E9F">
        <w:t xml:space="preserve">, unless the </w:t>
      </w:r>
      <w:r w:rsidR="00A86F83" w:rsidRPr="00AA1E9F">
        <w:t>expectations</w:t>
      </w:r>
      <w:r w:rsidR="00672BE4" w:rsidRPr="00AA1E9F">
        <w:t xml:space="preserve"> and requirements around action plans themselves were strengthened.</w:t>
      </w:r>
    </w:p>
    <w:p w14:paraId="376DE1CD" w14:textId="77777777" w:rsidR="00672BE4" w:rsidRPr="00AA1E9F" w:rsidRDefault="00672BE4" w:rsidP="00240A4D">
      <w:pPr>
        <w:contextualSpacing/>
        <w:jc w:val="both"/>
      </w:pPr>
    </w:p>
    <w:p w14:paraId="25C926D0" w14:textId="1701F428" w:rsidR="005830BF" w:rsidRDefault="002A7DF3" w:rsidP="00240A4D">
      <w:pPr>
        <w:pStyle w:val="Heading2"/>
        <w:spacing w:before="0" w:after="0"/>
        <w:contextualSpacing/>
        <w:jc w:val="both"/>
        <w:rPr>
          <w:sz w:val="32"/>
          <w:szCs w:val="32"/>
          <w:lang w:val="en-AU"/>
        </w:rPr>
      </w:pPr>
      <w:r>
        <w:rPr>
          <w:sz w:val="32"/>
          <w:szCs w:val="32"/>
          <w:lang w:val="en-AU"/>
        </w:rPr>
        <w:t xml:space="preserve">Question 48: </w:t>
      </w:r>
      <w:r w:rsidR="005830BF" w:rsidRPr="003C6009">
        <w:rPr>
          <w:sz w:val="32"/>
          <w:szCs w:val="32"/>
          <w:lang w:val="en-AU"/>
        </w:rPr>
        <w:t xml:space="preserve">Are there examples of legislative provisions in Commonwealth or state and territory anti- discrimination law that could be drawn on to modernise or strengthen the Disability Discrimination Act? </w:t>
      </w:r>
    </w:p>
    <w:p w14:paraId="1CEBB3C7" w14:textId="77777777" w:rsidR="00240A4D" w:rsidRPr="00240A4D" w:rsidRDefault="00240A4D" w:rsidP="00240A4D"/>
    <w:p w14:paraId="773AD4FB" w14:textId="5BC5F4F5" w:rsidR="005830BF" w:rsidRDefault="002A7DF3" w:rsidP="00240A4D">
      <w:pPr>
        <w:pStyle w:val="Heading2"/>
        <w:spacing w:before="0" w:after="0"/>
        <w:contextualSpacing/>
        <w:jc w:val="both"/>
        <w:rPr>
          <w:sz w:val="32"/>
          <w:szCs w:val="32"/>
          <w:lang w:val="en-AU"/>
        </w:rPr>
      </w:pPr>
      <w:r>
        <w:rPr>
          <w:sz w:val="32"/>
          <w:szCs w:val="32"/>
          <w:lang w:val="en-AU"/>
        </w:rPr>
        <w:t xml:space="preserve">Question 49: </w:t>
      </w:r>
      <w:r w:rsidR="005830BF" w:rsidRPr="003C6009">
        <w:rPr>
          <w:sz w:val="32"/>
          <w:szCs w:val="32"/>
          <w:lang w:val="en-AU"/>
        </w:rPr>
        <w:t xml:space="preserve">What additional guidance materials should be provided to the community, including duty holders, about the operation of the Disability Discrimination Act or specific amendments proposed in this paper? </w:t>
      </w:r>
    </w:p>
    <w:p w14:paraId="0EA83235" w14:textId="77777777" w:rsidR="00240A4D" w:rsidRPr="00240A4D" w:rsidRDefault="00240A4D" w:rsidP="00240A4D"/>
    <w:p w14:paraId="7FB76511" w14:textId="3746B807" w:rsidR="00240A4D" w:rsidRDefault="002A7DF3" w:rsidP="00240A4D">
      <w:pPr>
        <w:pStyle w:val="Heading2"/>
        <w:spacing w:before="0" w:after="0"/>
        <w:contextualSpacing/>
        <w:jc w:val="both"/>
        <w:rPr>
          <w:sz w:val="32"/>
          <w:szCs w:val="32"/>
          <w:lang w:val="en-AU"/>
        </w:rPr>
      </w:pPr>
      <w:r>
        <w:rPr>
          <w:sz w:val="32"/>
          <w:szCs w:val="32"/>
          <w:lang w:val="en-AU"/>
        </w:rPr>
        <w:t xml:space="preserve">Question 50: </w:t>
      </w:r>
      <w:r w:rsidR="005830BF" w:rsidRPr="003C6009">
        <w:rPr>
          <w:sz w:val="32"/>
          <w:szCs w:val="32"/>
          <w:lang w:val="en-AU"/>
        </w:rPr>
        <w:t>How can we ensure the Disability Discrimination</w:t>
      </w:r>
      <w:r w:rsidR="00E63987" w:rsidRPr="003C6009">
        <w:rPr>
          <w:sz w:val="32"/>
          <w:szCs w:val="32"/>
          <w:lang w:val="en-AU"/>
        </w:rPr>
        <w:t xml:space="preserve"> </w:t>
      </w:r>
      <w:r w:rsidR="005830BF" w:rsidRPr="003C6009">
        <w:rPr>
          <w:sz w:val="32"/>
          <w:szCs w:val="32"/>
          <w:lang w:val="en-AU"/>
        </w:rPr>
        <w:t>Act remains fit</w:t>
      </w:r>
      <w:r w:rsidR="005830BF" w:rsidRPr="003C6009">
        <w:rPr>
          <w:rFonts w:ascii="Cambria Math" w:hAnsi="Cambria Math" w:cs="Cambria Math"/>
          <w:sz w:val="32"/>
          <w:szCs w:val="32"/>
          <w:lang w:val="en-AU"/>
        </w:rPr>
        <w:t>‑</w:t>
      </w:r>
      <w:r w:rsidR="005830BF" w:rsidRPr="003C6009">
        <w:rPr>
          <w:sz w:val="32"/>
          <w:szCs w:val="32"/>
          <w:lang w:val="en-AU"/>
        </w:rPr>
        <w:t>for</w:t>
      </w:r>
      <w:r w:rsidR="005830BF" w:rsidRPr="003C6009">
        <w:rPr>
          <w:rFonts w:ascii="Cambria Math" w:hAnsi="Cambria Math" w:cs="Cambria Math"/>
          <w:sz w:val="32"/>
          <w:szCs w:val="32"/>
          <w:lang w:val="en-AU"/>
        </w:rPr>
        <w:t>‑</w:t>
      </w:r>
      <w:r w:rsidR="005830BF" w:rsidRPr="003C6009">
        <w:rPr>
          <w:sz w:val="32"/>
          <w:szCs w:val="32"/>
          <w:lang w:val="en-AU"/>
        </w:rPr>
        <w:t>purpose into the future?</w:t>
      </w:r>
    </w:p>
    <w:p w14:paraId="35F1969D" w14:textId="659AD3AC" w:rsidR="005830BF" w:rsidRPr="003C6009" w:rsidRDefault="005830BF" w:rsidP="00240A4D">
      <w:pPr>
        <w:pStyle w:val="Heading2"/>
        <w:spacing w:before="0" w:after="0"/>
        <w:contextualSpacing/>
        <w:jc w:val="both"/>
        <w:rPr>
          <w:sz w:val="32"/>
          <w:szCs w:val="32"/>
          <w:lang w:val="en-AU"/>
        </w:rPr>
      </w:pPr>
      <w:r w:rsidRPr="003C6009">
        <w:rPr>
          <w:sz w:val="32"/>
          <w:szCs w:val="32"/>
          <w:lang w:val="en-AU"/>
        </w:rPr>
        <w:t xml:space="preserve"> </w:t>
      </w:r>
    </w:p>
    <w:p w14:paraId="79F2D114" w14:textId="1D2779C9" w:rsidR="00FA6CAE" w:rsidRPr="003C6009" w:rsidRDefault="002A7DF3" w:rsidP="00240A4D">
      <w:pPr>
        <w:pStyle w:val="Heading2"/>
        <w:spacing w:before="0" w:after="0"/>
        <w:contextualSpacing/>
        <w:jc w:val="both"/>
        <w:rPr>
          <w:sz w:val="32"/>
          <w:szCs w:val="32"/>
          <w:lang w:val="en-AU"/>
        </w:rPr>
      </w:pPr>
      <w:r>
        <w:rPr>
          <w:sz w:val="32"/>
          <w:szCs w:val="32"/>
          <w:lang w:val="en-AU"/>
        </w:rPr>
        <w:t xml:space="preserve">Question 51: </w:t>
      </w:r>
      <w:r w:rsidR="005830BF" w:rsidRPr="003C6009">
        <w:rPr>
          <w:sz w:val="32"/>
          <w:szCs w:val="32"/>
          <w:lang w:val="en-AU"/>
        </w:rPr>
        <w:t>Are there any other issues with the Disability Discrimination Act that should be considered as part of this review?</w:t>
      </w:r>
    </w:p>
    <w:p w14:paraId="24894A3F" w14:textId="77777777" w:rsidR="005830BF" w:rsidRPr="00AA1E9F" w:rsidRDefault="005830BF" w:rsidP="00240A4D">
      <w:pPr>
        <w:contextualSpacing/>
        <w:jc w:val="both"/>
      </w:pPr>
    </w:p>
    <w:p w14:paraId="7F7A51F8" w14:textId="5ABDF3B5" w:rsidR="005830BF" w:rsidRPr="00AA1E9F" w:rsidRDefault="00B25D65" w:rsidP="00240A4D">
      <w:pPr>
        <w:contextualSpacing/>
        <w:jc w:val="both"/>
      </w:pPr>
      <w:r w:rsidRPr="00AA1E9F">
        <w:t>We believe that more guidance material is always m</w:t>
      </w:r>
      <w:r w:rsidR="0041495F" w:rsidRPr="00AA1E9F">
        <w:t>ore valuable than less</w:t>
      </w:r>
      <w:r w:rsidR="004420E6" w:rsidRPr="00AA1E9F">
        <w:t xml:space="preserve">. It </w:t>
      </w:r>
      <w:r w:rsidR="002F6EFC" w:rsidRPr="00AA1E9F">
        <w:t>will be particularly important to have an abundance of guidance material if am</w:t>
      </w:r>
      <w:r w:rsidR="004D2A13">
        <w:t>e</w:t>
      </w:r>
      <w:r w:rsidR="002F6EFC" w:rsidRPr="00AA1E9F">
        <w:t>ndments are made to the DDA to establish a p</w:t>
      </w:r>
      <w:r w:rsidR="00B52B60" w:rsidRPr="00AA1E9F">
        <w:t>ositive duty obligation</w:t>
      </w:r>
      <w:r w:rsidR="00E0039B" w:rsidRPr="00AA1E9F">
        <w:t>,</w:t>
      </w:r>
      <w:r w:rsidR="00B52B60" w:rsidRPr="00AA1E9F">
        <w:t xml:space="preserve"> to shift the burden of proof</w:t>
      </w:r>
      <w:r w:rsidR="00E0039B" w:rsidRPr="00AA1E9F">
        <w:t>, and to remove the “reasonable”</w:t>
      </w:r>
      <w:r w:rsidR="00B0006C" w:rsidRPr="00AA1E9F">
        <w:t xml:space="preserve"> test.</w:t>
      </w:r>
    </w:p>
    <w:p w14:paraId="7C4DAFF6" w14:textId="77777777" w:rsidR="006E03C6" w:rsidRPr="00AA1E9F" w:rsidRDefault="006E03C6" w:rsidP="00240A4D">
      <w:pPr>
        <w:contextualSpacing/>
        <w:jc w:val="both"/>
      </w:pPr>
    </w:p>
    <w:p w14:paraId="65793738" w14:textId="2864A7F1" w:rsidR="006E03C6" w:rsidRPr="00AA1E9F" w:rsidRDefault="006E03C6" w:rsidP="00240A4D">
      <w:pPr>
        <w:contextualSpacing/>
        <w:jc w:val="both"/>
      </w:pPr>
      <w:r w:rsidRPr="00AA1E9F">
        <w:t>Guidance material is most effective when it</w:t>
      </w:r>
      <w:r w:rsidR="00FD3E62" w:rsidRPr="00AA1E9F">
        <w:t xml:space="preserve"> aims to clarify legislative or regulatory provisions</w:t>
      </w:r>
      <w:r w:rsidR="00432F3E" w:rsidRPr="00AA1E9F">
        <w:t xml:space="preserve">; it is less effective when it </w:t>
      </w:r>
      <w:r w:rsidR="00707719" w:rsidRPr="00AA1E9F">
        <w:t xml:space="preserve">is developed in areas where there is no legislative or regulatory certainty. </w:t>
      </w:r>
      <w:r w:rsidR="00136DFD" w:rsidRPr="00AA1E9F">
        <w:t>In our view this is the case with guidance material produce</w:t>
      </w:r>
      <w:r w:rsidR="002D3E06">
        <w:t>d</w:t>
      </w:r>
      <w:r w:rsidR="00136DFD" w:rsidRPr="00AA1E9F">
        <w:t xml:space="preserve"> to show how the DDA does, or might, apply in the digital space. </w:t>
      </w:r>
    </w:p>
    <w:p w14:paraId="5733B2EB" w14:textId="77777777" w:rsidR="00B43E0B" w:rsidRPr="00AA1E9F" w:rsidRDefault="00B43E0B" w:rsidP="00240A4D">
      <w:pPr>
        <w:contextualSpacing/>
        <w:jc w:val="both"/>
      </w:pPr>
    </w:p>
    <w:p w14:paraId="10AF9A29" w14:textId="796C168D" w:rsidR="00B43E0B" w:rsidRPr="00AA1E9F" w:rsidRDefault="00B43E0B" w:rsidP="00240A4D">
      <w:pPr>
        <w:contextualSpacing/>
        <w:jc w:val="both"/>
      </w:pPr>
      <w:r w:rsidRPr="00AA1E9F">
        <w:lastRenderedPageBreak/>
        <w:t xml:space="preserve">It is unfortunate that the DRC was not able to turn its attention to the many and </w:t>
      </w:r>
      <w:r w:rsidR="007037E0" w:rsidRPr="00AA1E9F">
        <w:t>increasing discriminatory barriers that people with disability face when interacting with digital spaces and technologies. The</w:t>
      </w:r>
      <w:r w:rsidR="00155FA6" w:rsidRPr="00AA1E9F">
        <w:t xml:space="preserve"> digital </w:t>
      </w:r>
      <w:r w:rsidR="00F53769" w:rsidRPr="00AA1E9F">
        <w:t xml:space="preserve">revolution, </w:t>
      </w:r>
      <w:r w:rsidR="00887D66" w:rsidRPr="00AA1E9F">
        <w:t>fuelled</w:t>
      </w:r>
      <w:r w:rsidR="00F53769" w:rsidRPr="00AA1E9F">
        <w:t xml:space="preserve"> </w:t>
      </w:r>
      <w:r w:rsidR="00A323D6" w:rsidRPr="00AA1E9F">
        <w:t>by</w:t>
      </w:r>
      <w:r w:rsidR="00F53769" w:rsidRPr="00AA1E9F">
        <w:t xml:space="preserve"> the convergence of publishi</w:t>
      </w:r>
      <w:r w:rsidR="00887D66" w:rsidRPr="00AA1E9F">
        <w:t>ng, broadcasting, telecommunications and computing in the mid-1990s,</w:t>
      </w:r>
      <w:r w:rsidR="00A323D6" w:rsidRPr="00AA1E9F">
        <w:t xml:space="preserve"> has</w:t>
      </w:r>
      <w:r w:rsidR="00DE3CEE" w:rsidRPr="00AA1E9F">
        <w:t xml:space="preserve"> </w:t>
      </w:r>
      <w:r w:rsidR="006F61D0" w:rsidRPr="00AA1E9F">
        <w:t>brought about profound trans</w:t>
      </w:r>
      <w:r w:rsidR="009C3654">
        <w:t>f</w:t>
      </w:r>
      <w:r w:rsidR="006F61D0" w:rsidRPr="00AA1E9F">
        <w:t xml:space="preserve">ormations in </w:t>
      </w:r>
      <w:r w:rsidR="007925A2" w:rsidRPr="00AA1E9F">
        <w:t xml:space="preserve">every aspect of life. </w:t>
      </w:r>
      <w:r w:rsidR="00244355" w:rsidRPr="00AA1E9F">
        <w:t>It is impossible now to live in developed countries like Aust</w:t>
      </w:r>
      <w:r w:rsidR="002D38C2" w:rsidRPr="00AA1E9F">
        <w:t>ralia without being impacted by digital</w:t>
      </w:r>
      <w:r w:rsidR="00A40FAC" w:rsidRPr="00AA1E9F">
        <w:t xml:space="preserve"> technologies, and </w:t>
      </w:r>
      <w:r w:rsidR="00F90405" w:rsidRPr="00AA1E9F">
        <w:t xml:space="preserve">in our experience </w:t>
      </w:r>
      <w:r w:rsidR="00FC4BF8" w:rsidRPr="00AA1E9F">
        <w:t xml:space="preserve">new forms of </w:t>
      </w:r>
      <w:r w:rsidR="00A40FAC" w:rsidRPr="00AA1E9F">
        <w:t xml:space="preserve">disability discrimination </w:t>
      </w:r>
      <w:r w:rsidR="00C0659A" w:rsidRPr="00AA1E9F">
        <w:t>are</w:t>
      </w:r>
      <w:r w:rsidR="00B521DA" w:rsidRPr="00AA1E9F">
        <w:t xml:space="preserve"> rampant </w:t>
      </w:r>
      <w:r w:rsidR="00C0659A" w:rsidRPr="00AA1E9F">
        <w:t>as a result.</w:t>
      </w:r>
    </w:p>
    <w:p w14:paraId="27B45ED8" w14:textId="77777777" w:rsidR="00C0659A" w:rsidRPr="00AA1E9F" w:rsidRDefault="00C0659A" w:rsidP="00240A4D">
      <w:pPr>
        <w:contextualSpacing/>
        <w:jc w:val="both"/>
      </w:pPr>
    </w:p>
    <w:p w14:paraId="24EBBBA3" w14:textId="1982B88F" w:rsidR="00C0659A" w:rsidRPr="00AA1E9F" w:rsidRDefault="00C0659A" w:rsidP="00240A4D">
      <w:pPr>
        <w:contextualSpacing/>
        <w:jc w:val="both"/>
      </w:pPr>
      <w:r w:rsidRPr="00AA1E9F">
        <w:t xml:space="preserve">The DDA was, of course, developed </w:t>
      </w:r>
      <w:r w:rsidR="00801860" w:rsidRPr="00AA1E9F">
        <w:t xml:space="preserve">when the digital revolution was just beginning, and its generic provisions </w:t>
      </w:r>
      <w:r w:rsidR="00A66256" w:rsidRPr="00AA1E9F">
        <w:t xml:space="preserve">often do not apply automatically or unequivocally </w:t>
      </w:r>
      <w:r w:rsidR="00560302" w:rsidRPr="00AA1E9F">
        <w:t xml:space="preserve">in a digital world. As one example, when a person who is blind purchases a washing machine that has a companion app and finds </w:t>
      </w:r>
      <w:r w:rsidR="00B46ED1">
        <w:t>t</w:t>
      </w:r>
      <w:r w:rsidR="00560302" w:rsidRPr="00AA1E9F">
        <w:t>hat the companion app is not accessible</w:t>
      </w:r>
      <w:r w:rsidR="004F13DE" w:rsidRPr="00AA1E9F">
        <w:t xml:space="preserve"> because it is not compatible with screen-reading software, is the app considered under the DDA to be part of the washing machine</w:t>
      </w:r>
      <w:r w:rsidR="006A6A65" w:rsidRPr="00AA1E9F">
        <w:t xml:space="preserve"> itself (we know that some manufacturers appear to think it is)</w:t>
      </w:r>
      <w:r w:rsidR="004F13DE" w:rsidRPr="00AA1E9F">
        <w:t>, a service provided b</w:t>
      </w:r>
      <w:r w:rsidR="00D52047" w:rsidRPr="00AA1E9F">
        <w:t>y the manufacturer, or a means of providing one or more services</w:t>
      </w:r>
      <w:r w:rsidR="002F3772" w:rsidRPr="00AA1E9F">
        <w:t xml:space="preserve"> by the manufacturer in relation to the washing machine</w:t>
      </w:r>
      <w:r w:rsidR="00D52047" w:rsidRPr="00AA1E9F">
        <w:t xml:space="preserve">? The answer to that </w:t>
      </w:r>
      <w:r w:rsidR="00421232" w:rsidRPr="00AA1E9F">
        <w:t>question will determine whether the person can lodge a complaint</w:t>
      </w:r>
      <w:r w:rsidR="009C3654">
        <w:t xml:space="preserve"> </w:t>
      </w:r>
      <w:r w:rsidR="00421232" w:rsidRPr="00AA1E9F">
        <w:t xml:space="preserve">under the DDA </w:t>
      </w:r>
      <w:r w:rsidR="008F0BA3" w:rsidRPr="00AA1E9F">
        <w:t>alleging disability discrimination in the provision of goods and services.</w:t>
      </w:r>
    </w:p>
    <w:p w14:paraId="5A4AE961" w14:textId="77777777" w:rsidR="008F0BA3" w:rsidRPr="00AA1E9F" w:rsidRDefault="008F0BA3" w:rsidP="00240A4D">
      <w:pPr>
        <w:contextualSpacing/>
        <w:jc w:val="both"/>
      </w:pPr>
    </w:p>
    <w:p w14:paraId="127BAB8C" w14:textId="00E07152" w:rsidR="008F0BA3" w:rsidRPr="00AA1E9F" w:rsidRDefault="008F0BA3" w:rsidP="00240A4D">
      <w:pPr>
        <w:contextualSpacing/>
        <w:jc w:val="both"/>
      </w:pPr>
      <w:r w:rsidRPr="00AA1E9F">
        <w:t>As far as we know this and similar questions have not been considere</w:t>
      </w:r>
      <w:r w:rsidR="00B46ED1">
        <w:t>d</w:t>
      </w:r>
      <w:r w:rsidRPr="00AA1E9F">
        <w:t xml:space="preserve"> by courts, and alth</w:t>
      </w:r>
      <w:r w:rsidR="00E50A0A" w:rsidRPr="00AA1E9F">
        <w:t>ough there have been quite a number of complaints about inaccessibl</w:t>
      </w:r>
      <w:r w:rsidR="00292C03" w:rsidRPr="00AA1E9F">
        <w:t>e</w:t>
      </w:r>
      <w:r w:rsidR="00E50A0A" w:rsidRPr="00AA1E9F">
        <w:t xml:space="preserve"> websites, apps and other digital platforms, none of them has ever proceeded to trial, even though</w:t>
      </w:r>
      <w:r w:rsidR="00837183" w:rsidRPr="00AA1E9F">
        <w:t xml:space="preserve"> not all of them have been conciliated </w:t>
      </w:r>
      <w:r w:rsidR="00F81DF7">
        <w:t>t</w:t>
      </w:r>
      <w:r w:rsidR="00837183" w:rsidRPr="00AA1E9F">
        <w:t>o the sati</w:t>
      </w:r>
      <w:r w:rsidR="00852600">
        <w:t>s</w:t>
      </w:r>
      <w:r w:rsidR="00837183" w:rsidRPr="00AA1E9F">
        <w:t>f</w:t>
      </w:r>
      <w:r w:rsidR="00852600">
        <w:t>a</w:t>
      </w:r>
      <w:r w:rsidR="00837183" w:rsidRPr="00AA1E9F">
        <w:t>ction o</w:t>
      </w:r>
      <w:r w:rsidR="004F6A72" w:rsidRPr="00AA1E9F">
        <w:t>f</w:t>
      </w:r>
      <w:r w:rsidR="00837183" w:rsidRPr="00AA1E9F">
        <w:t xml:space="preserve"> the complainants.</w:t>
      </w:r>
      <w:r w:rsidR="004F6A72" w:rsidRPr="00AA1E9F">
        <w:t xml:space="preserve"> The lack of legislative certainty</w:t>
      </w:r>
      <w:r w:rsidR="00024862" w:rsidRPr="00AA1E9F">
        <w:t xml:space="preserve"> in this area</w:t>
      </w:r>
      <w:r w:rsidR="004F6A72" w:rsidRPr="00AA1E9F">
        <w:t xml:space="preserve"> is acting as a significant deterrent </w:t>
      </w:r>
      <w:r w:rsidR="00BB4552" w:rsidRPr="00AA1E9F">
        <w:t>for people who are blind or have low vision</w:t>
      </w:r>
      <w:r w:rsidR="00024862" w:rsidRPr="00AA1E9F">
        <w:t>, and it is allowing disability discrimination</w:t>
      </w:r>
      <w:r w:rsidR="00A13252" w:rsidRPr="00AA1E9F">
        <w:t xml:space="preserve"> in the digital world to proliferate largely unchecked.</w:t>
      </w:r>
    </w:p>
    <w:p w14:paraId="13D86DE9" w14:textId="77777777" w:rsidR="00837183" w:rsidRPr="00AA1E9F" w:rsidRDefault="00837183" w:rsidP="00240A4D">
      <w:pPr>
        <w:contextualSpacing/>
        <w:jc w:val="both"/>
      </w:pPr>
    </w:p>
    <w:p w14:paraId="3E9A0207" w14:textId="75DD0C7B" w:rsidR="00837183" w:rsidRPr="00AA1E9F" w:rsidRDefault="00837183" w:rsidP="00240A4D">
      <w:pPr>
        <w:contextualSpacing/>
        <w:jc w:val="both"/>
      </w:pPr>
      <w:r w:rsidRPr="00AA1E9F">
        <w:t xml:space="preserve">We </w:t>
      </w:r>
      <w:r w:rsidR="00B65564" w:rsidRPr="00AA1E9F">
        <w:t xml:space="preserve">therefore </w:t>
      </w:r>
      <w:r w:rsidRPr="00AA1E9F">
        <w:t xml:space="preserve">believe </w:t>
      </w:r>
      <w:r w:rsidR="00B65564" w:rsidRPr="00AA1E9F">
        <w:t xml:space="preserve">that </w:t>
      </w:r>
      <w:r w:rsidRPr="00AA1E9F">
        <w:t>it is a</w:t>
      </w:r>
      <w:r w:rsidR="00525236" w:rsidRPr="00AA1E9F">
        <w:t>bsolutely crucial that there are amendments to the DDA tha</w:t>
      </w:r>
      <w:r w:rsidR="00E37798" w:rsidRPr="00AA1E9F">
        <w:t>t</w:t>
      </w:r>
      <w:r w:rsidR="00525236" w:rsidRPr="00AA1E9F">
        <w:t xml:space="preserve"> clarify or establish</w:t>
      </w:r>
      <w:r w:rsidR="00D84523" w:rsidRPr="00AA1E9F">
        <w:t xml:space="preserve"> its application in the digital world.</w:t>
      </w:r>
      <w:r w:rsidR="00446E44" w:rsidRPr="00AA1E9F">
        <w:t xml:space="preserve"> If a positive duty </w:t>
      </w:r>
      <w:r w:rsidR="00E60894" w:rsidRPr="00AA1E9F">
        <w:t xml:space="preserve">obligation is legislated, then it will be </w:t>
      </w:r>
      <w:r w:rsidR="005A773D" w:rsidRPr="00AA1E9F">
        <w:t xml:space="preserve">equally </w:t>
      </w:r>
      <w:r w:rsidR="00E60894" w:rsidRPr="00AA1E9F">
        <w:t xml:space="preserve">crucial for that obligation to apply to </w:t>
      </w:r>
      <w:r w:rsidR="003074AA" w:rsidRPr="00AA1E9F">
        <w:t>the provision of digital goods and services</w:t>
      </w:r>
      <w:r w:rsidR="00A91E6E">
        <w:t xml:space="preserve"> </w:t>
      </w:r>
      <w:r w:rsidR="00B46ED1">
        <w:t>such as</w:t>
      </w:r>
      <w:r w:rsidR="00C732C5" w:rsidRPr="00AA1E9F">
        <w:t xml:space="preserve"> employee recruitment platforms, educational learning systems, e-commerce websites, and </w:t>
      </w:r>
      <w:r w:rsidR="001A5E00" w:rsidRPr="00AA1E9F">
        <w:t>companion apps for home appliances.</w:t>
      </w:r>
    </w:p>
    <w:p w14:paraId="1EC3BC98" w14:textId="77777777" w:rsidR="000B04C9" w:rsidRPr="00AA1E9F" w:rsidRDefault="000B04C9" w:rsidP="00240A4D">
      <w:pPr>
        <w:contextualSpacing/>
        <w:jc w:val="both"/>
      </w:pPr>
    </w:p>
    <w:p w14:paraId="2D3077D5" w14:textId="25FFEE2A" w:rsidR="000B04C9" w:rsidRPr="00AA1E9F" w:rsidRDefault="0013341A" w:rsidP="00240A4D">
      <w:pPr>
        <w:contextualSpacing/>
        <w:jc w:val="both"/>
      </w:pPr>
      <w:r w:rsidRPr="00AA1E9F">
        <w:t>Som</w:t>
      </w:r>
      <w:r w:rsidR="00B46ED1">
        <w:t>e</w:t>
      </w:r>
      <w:r w:rsidRPr="00AA1E9F">
        <w:t xml:space="preserve"> Commonwealth legislation, such as </w:t>
      </w:r>
      <w:r w:rsidR="002B7F9B" w:rsidRPr="00AA1E9F">
        <w:t>S30 of the Digital ID Act 2024, already mandates compliance with digital</w:t>
      </w:r>
      <w:r w:rsidR="00F44995" w:rsidRPr="00AA1E9F">
        <w:t xml:space="preserve"> accessibility standards</w:t>
      </w:r>
      <w:r w:rsidR="005A5795" w:rsidRPr="00AA1E9F">
        <w:rPr>
          <w:rStyle w:val="FootnoteReference"/>
        </w:rPr>
        <w:footnoteReference w:id="5"/>
      </w:r>
      <w:r w:rsidR="000959B7" w:rsidRPr="00AA1E9F">
        <w:t xml:space="preserve">. In the absence of </w:t>
      </w:r>
      <w:r w:rsidR="009C62F7" w:rsidRPr="00AA1E9F">
        <w:t>Disability Standards developed under the DDA and covering digital technologies, there is an o</w:t>
      </w:r>
      <w:r w:rsidR="00251D04" w:rsidRPr="00AA1E9F">
        <w:t>pportunity for amendments to the DDA to reference the same standards that are referen</w:t>
      </w:r>
      <w:r w:rsidR="00793E3F">
        <w:t>c</w:t>
      </w:r>
      <w:r w:rsidR="00251D04" w:rsidRPr="00AA1E9F">
        <w:t>ed in the Digital ID system</w:t>
      </w:r>
      <w:r w:rsidR="00CA00F4" w:rsidRPr="00AA1E9F">
        <w:t xml:space="preserve"> as being applicable</w:t>
      </w:r>
      <w:r w:rsidR="00EB0021" w:rsidRPr="00AA1E9F">
        <w:t xml:space="preserve"> as part of a positive duty obligation</w:t>
      </w:r>
      <w:r w:rsidR="00B16BD7" w:rsidRPr="00AA1E9F">
        <w:t>.</w:t>
      </w:r>
    </w:p>
    <w:p w14:paraId="54A98F12" w14:textId="77777777" w:rsidR="00B16BD7" w:rsidRPr="00AA1E9F" w:rsidRDefault="00B16BD7" w:rsidP="00240A4D">
      <w:pPr>
        <w:contextualSpacing/>
        <w:jc w:val="both"/>
      </w:pPr>
    </w:p>
    <w:p w14:paraId="199EE27F" w14:textId="12968BDB" w:rsidR="00B16BD7" w:rsidRPr="00FB5389" w:rsidRDefault="00211A9D" w:rsidP="00240A4D">
      <w:pPr>
        <w:pStyle w:val="Heading3"/>
        <w:spacing w:before="0" w:after="0"/>
        <w:contextualSpacing/>
        <w:jc w:val="both"/>
        <w:rPr>
          <w:sz w:val="40"/>
          <w:szCs w:val="40"/>
        </w:rPr>
      </w:pPr>
      <w:r w:rsidRPr="00FB5389">
        <w:rPr>
          <w:sz w:val="40"/>
          <w:szCs w:val="40"/>
        </w:rPr>
        <w:t>Reform of the Complaints Mechanism</w:t>
      </w:r>
    </w:p>
    <w:p w14:paraId="2FF66A1F" w14:textId="77777777" w:rsidR="00211A9D" w:rsidRPr="00AA1E9F" w:rsidRDefault="00211A9D" w:rsidP="00240A4D">
      <w:pPr>
        <w:contextualSpacing/>
        <w:jc w:val="both"/>
      </w:pPr>
    </w:p>
    <w:p w14:paraId="323DC86C" w14:textId="4FAD0025" w:rsidR="00211A9D" w:rsidRPr="00AA1E9F" w:rsidRDefault="00211A9D" w:rsidP="00240A4D">
      <w:pPr>
        <w:contextualSpacing/>
        <w:jc w:val="both"/>
      </w:pPr>
      <w:r w:rsidRPr="00AA1E9F">
        <w:t xml:space="preserve">In conclusion we return to the </w:t>
      </w:r>
      <w:r w:rsidR="00D86B55" w:rsidRPr="00AA1E9F">
        <w:t xml:space="preserve">vexed subject of the DDA’s complaints mechanism that we have mentioned throughout this submission. </w:t>
      </w:r>
      <w:r w:rsidR="00291C85" w:rsidRPr="00AA1E9F">
        <w:t>In our view the DDA fitness for purpose both now and into the future depends on a fundamental ove</w:t>
      </w:r>
      <w:r w:rsidR="00AA34CE" w:rsidRPr="00AA1E9F">
        <w:t xml:space="preserve">rhaul of this mechanism. </w:t>
      </w:r>
      <w:r w:rsidR="004468F6" w:rsidRPr="00AA1E9F">
        <w:t>There are three aspects that</w:t>
      </w:r>
      <w:r w:rsidR="00433AA3" w:rsidRPr="00AA1E9F">
        <w:t xml:space="preserve"> are most in need of expedited reform.</w:t>
      </w:r>
    </w:p>
    <w:p w14:paraId="183E11E8" w14:textId="77777777" w:rsidR="00433AA3" w:rsidRPr="00AA1E9F" w:rsidRDefault="00433AA3" w:rsidP="00240A4D">
      <w:pPr>
        <w:contextualSpacing/>
        <w:jc w:val="both"/>
      </w:pPr>
    </w:p>
    <w:p w14:paraId="79FD3479" w14:textId="66608A3C" w:rsidR="00147426" w:rsidRPr="00AA1E9F" w:rsidRDefault="00433AA3" w:rsidP="00240A4D">
      <w:pPr>
        <w:contextualSpacing/>
        <w:jc w:val="both"/>
      </w:pPr>
      <w:r w:rsidRPr="00AA1E9F">
        <w:t>The first is the inordinate length of time it takes for a compl</w:t>
      </w:r>
      <w:r w:rsidR="007A19B8">
        <w:t>a</w:t>
      </w:r>
      <w:r w:rsidRPr="00AA1E9F">
        <w:t xml:space="preserve">int to be processed by the AHRC once it is lodged. Our recent </w:t>
      </w:r>
      <w:r w:rsidR="00DD41CF" w:rsidRPr="00AA1E9F">
        <w:t xml:space="preserve">experience is that it takes 6-12 months, excluding any resolution processes. Most instances of disability discrimination are experienced as quite traumatic and distressing, and for a person with a disability to be forced to endure this trauma for up to a year, or to relive it </w:t>
      </w:r>
      <w:r w:rsidR="0040725D" w:rsidRPr="00AA1E9F">
        <w:t xml:space="preserve">again </w:t>
      </w:r>
      <w:r w:rsidR="00DD41CF" w:rsidRPr="00AA1E9F">
        <w:t>after a year</w:t>
      </w:r>
      <w:r w:rsidR="0040725D" w:rsidRPr="00AA1E9F">
        <w:t xml:space="preserve"> </w:t>
      </w:r>
      <w:r w:rsidR="0061154D" w:rsidRPr="00AA1E9F">
        <w:t>of tr</w:t>
      </w:r>
      <w:r w:rsidR="00147426" w:rsidRPr="00AA1E9F">
        <w:t>y</w:t>
      </w:r>
      <w:r w:rsidR="0061154D" w:rsidRPr="00AA1E9F">
        <w:t>ing to put it behind them, is simply intolerable.</w:t>
      </w:r>
      <w:r w:rsidR="00636931" w:rsidRPr="00AA1E9F">
        <w:t xml:space="preserve"> One client told us that</w:t>
      </w:r>
      <w:r w:rsidR="00EC3F85" w:rsidRPr="00AA1E9F">
        <w:t xml:space="preserve"> their DDA compl</w:t>
      </w:r>
      <w:r w:rsidR="00566A13">
        <w:t>a</w:t>
      </w:r>
      <w:r w:rsidR="00EC3F85" w:rsidRPr="00AA1E9F">
        <w:t>int was ongoing for 19 months, before it was terminated witho</w:t>
      </w:r>
      <w:r w:rsidR="00C20322" w:rsidRPr="00AA1E9F">
        <w:t>ut a conciliated settlement.</w:t>
      </w:r>
      <w:r w:rsidR="0061154D" w:rsidRPr="00AA1E9F">
        <w:t xml:space="preserve"> </w:t>
      </w:r>
    </w:p>
    <w:p w14:paraId="18FED4DE" w14:textId="77777777" w:rsidR="00147426" w:rsidRPr="00AA1E9F" w:rsidRDefault="00147426" w:rsidP="00240A4D">
      <w:pPr>
        <w:contextualSpacing/>
        <w:jc w:val="both"/>
      </w:pPr>
    </w:p>
    <w:p w14:paraId="13DE66AF" w14:textId="35F97102" w:rsidR="00433AA3" w:rsidRPr="00AA1E9F" w:rsidRDefault="00147426" w:rsidP="00240A4D">
      <w:pPr>
        <w:contextualSpacing/>
        <w:jc w:val="both"/>
      </w:pPr>
      <w:r w:rsidRPr="00AA1E9F">
        <w:t>It is not surprising that many p</w:t>
      </w:r>
      <w:r w:rsidR="00C96B8E">
        <w:t>e</w:t>
      </w:r>
      <w:r w:rsidRPr="00AA1E9F">
        <w:t>opl</w:t>
      </w:r>
      <w:r w:rsidR="000F09A6" w:rsidRPr="00AA1E9F">
        <w:t>e</w:t>
      </w:r>
      <w:r w:rsidRPr="00AA1E9F">
        <w:t xml:space="preserve"> find it less </w:t>
      </w:r>
      <w:r w:rsidR="009E647B">
        <w:t>s</w:t>
      </w:r>
      <w:r w:rsidRPr="00AA1E9F">
        <w:t xml:space="preserve">tressful to stay away from the complaints </w:t>
      </w:r>
      <w:r w:rsidR="000F09A6" w:rsidRPr="00AA1E9F">
        <w:t>process altogether</w:t>
      </w:r>
      <w:r w:rsidR="006905D4" w:rsidRPr="00AA1E9F">
        <w:t xml:space="preserve">. </w:t>
      </w:r>
      <w:r w:rsidR="00C20322" w:rsidRPr="00AA1E9F">
        <w:t>This is a most regrettable outcome given that the success</w:t>
      </w:r>
      <w:r w:rsidR="003C43BE" w:rsidRPr="00AA1E9F">
        <w:t xml:space="preserve"> of the DDA depends mainly on the success of its complaints mechanism in promoting the objects of the Act. </w:t>
      </w:r>
      <w:r w:rsidR="006905D4" w:rsidRPr="00AA1E9F">
        <w:t>Re</w:t>
      </w:r>
      <w:r w:rsidR="009E647B">
        <w:t>g</w:t>
      </w:r>
      <w:r w:rsidR="006905D4" w:rsidRPr="00AA1E9F">
        <w:t>ar</w:t>
      </w:r>
      <w:r w:rsidR="0061154D" w:rsidRPr="00AA1E9F">
        <w:t xml:space="preserve">dless of the factors that </w:t>
      </w:r>
      <w:r w:rsidR="00271AE1" w:rsidRPr="00AA1E9F">
        <w:t>contribute to these</w:t>
      </w:r>
      <w:r w:rsidR="0061154D" w:rsidRPr="00AA1E9F">
        <w:t xml:space="preserve"> lengthy processing times,</w:t>
      </w:r>
      <w:r w:rsidR="00BC1505" w:rsidRPr="00AA1E9F">
        <w:t xml:space="preserve"> </w:t>
      </w:r>
      <w:r w:rsidR="00E02FF2" w:rsidRPr="00AA1E9F">
        <w:t>the DDA must be amended to address them.</w:t>
      </w:r>
    </w:p>
    <w:p w14:paraId="44AD9002" w14:textId="77777777" w:rsidR="00E02FF2" w:rsidRPr="00AA1E9F" w:rsidRDefault="00E02FF2" w:rsidP="00240A4D">
      <w:pPr>
        <w:contextualSpacing/>
        <w:jc w:val="both"/>
      </w:pPr>
    </w:p>
    <w:p w14:paraId="626B471D" w14:textId="2D4D2A31" w:rsidR="00E02FF2" w:rsidRPr="00AA1E9F" w:rsidRDefault="00380908" w:rsidP="00240A4D">
      <w:pPr>
        <w:contextualSpacing/>
        <w:jc w:val="both"/>
      </w:pPr>
      <w:r>
        <w:t>The second aspect of the DDA complaints mechanism that we believe must be reformed is the insistence on voluntary conciliation. It has been our long-standin</w:t>
      </w:r>
      <w:r w:rsidR="00E00E50">
        <w:t xml:space="preserve">g view that the AHRC’s refusal to use the powers </w:t>
      </w:r>
      <w:r w:rsidR="00671FD0">
        <w:t xml:space="preserve">given to it under </w:t>
      </w:r>
      <w:r w:rsidR="00736F0D">
        <w:t>S.46</w:t>
      </w:r>
      <w:r w:rsidR="00810A4A">
        <w:t>PJ(3) of the Australian Human Rights</w:t>
      </w:r>
      <w:r w:rsidR="006741CE">
        <w:t xml:space="preserve"> Commission</w:t>
      </w:r>
      <w:r w:rsidR="00810A4A">
        <w:t xml:space="preserve"> Act</w:t>
      </w:r>
      <w:r w:rsidR="00F274D2">
        <w:t xml:space="preserve"> 1986 to require attendance at a conciliat</w:t>
      </w:r>
      <w:r w:rsidR="00083FF9">
        <w:t>io</w:t>
      </w:r>
      <w:r w:rsidR="00F274D2">
        <w:t>n conference does a disservice to the disability community and those who lodge or</w:t>
      </w:r>
      <w:r w:rsidR="0083336F">
        <w:t xml:space="preserve"> consider lodging a </w:t>
      </w:r>
      <w:r w:rsidR="00FD2F4D">
        <w:t xml:space="preserve">DDA </w:t>
      </w:r>
      <w:r w:rsidR="0083336F">
        <w:t>complaint. We do not know of any instance where these powers have been used</w:t>
      </w:r>
      <w:r w:rsidR="00CB46AC">
        <w:t>, even when requested</w:t>
      </w:r>
      <w:r w:rsidR="0083336F">
        <w:t>.</w:t>
      </w:r>
      <w:r w:rsidR="006B0D5F">
        <w:rPr>
          <w:rStyle w:val="FootnoteReference"/>
        </w:rPr>
        <w:footnoteReference w:id="6"/>
      </w:r>
    </w:p>
    <w:p w14:paraId="77DF05B9" w14:textId="77777777" w:rsidR="001A5E00" w:rsidRDefault="001A5E00" w:rsidP="00240A4D">
      <w:pPr>
        <w:contextualSpacing/>
        <w:jc w:val="both"/>
      </w:pPr>
    </w:p>
    <w:p w14:paraId="1E51B027" w14:textId="2BC83914" w:rsidR="00B413D3" w:rsidRDefault="00B413D3" w:rsidP="00240A4D">
      <w:pPr>
        <w:contextualSpacing/>
        <w:jc w:val="both"/>
      </w:pPr>
      <w:r>
        <w:t>At the same time, we are not aware of any evidence that insisting on voluntary conciliation</w:t>
      </w:r>
      <w:r w:rsidR="00B50790">
        <w:t xml:space="preserve"> leads to better outcomes for the complaint. In fact, our experience with those </w:t>
      </w:r>
      <w:r w:rsidR="001719F5">
        <w:t>S</w:t>
      </w:r>
      <w:r w:rsidR="00B50790">
        <w:t>tate/</w:t>
      </w:r>
      <w:r w:rsidR="001719F5">
        <w:t>T</w:t>
      </w:r>
      <w:r w:rsidR="00B50790">
        <w:t xml:space="preserve">erritory jurisdictions where </w:t>
      </w:r>
      <w:r w:rsidR="00BF2542">
        <w:t xml:space="preserve">participation is required, such as </w:t>
      </w:r>
      <w:r w:rsidR="00D75CAA">
        <w:t>t</w:t>
      </w:r>
      <w:r w:rsidR="00BF2542">
        <w:t>he NSW Anti-Discrimination Act, strongly suggests that complain</w:t>
      </w:r>
      <w:r w:rsidR="00051EFB">
        <w:t>an</w:t>
      </w:r>
      <w:r w:rsidR="00BF2542">
        <w:t>ts</w:t>
      </w:r>
      <w:r w:rsidR="00BD2DB9">
        <w:t xml:space="preserve"> have more certainty when lodging complaints and that re</w:t>
      </w:r>
      <w:r w:rsidR="00412CD9">
        <w:t>spondents are less likely to delay their response.</w:t>
      </w:r>
    </w:p>
    <w:p w14:paraId="7D4D95B8" w14:textId="77777777" w:rsidR="00412CD9" w:rsidRDefault="00412CD9" w:rsidP="00240A4D">
      <w:pPr>
        <w:contextualSpacing/>
        <w:jc w:val="both"/>
      </w:pPr>
    </w:p>
    <w:p w14:paraId="4FC5F04E" w14:textId="008A3613" w:rsidR="00412CD9" w:rsidRDefault="00412CD9" w:rsidP="00240A4D">
      <w:pPr>
        <w:contextualSpacing/>
        <w:jc w:val="both"/>
      </w:pPr>
      <w:r>
        <w:t>We therefore believe that the DDA must be amended to direct the AHRC to use its powers under S.46P</w:t>
      </w:r>
      <w:r w:rsidR="00844AF9">
        <w:t>J(3), at least in situations where respon</w:t>
      </w:r>
      <w:r w:rsidR="00C13987">
        <w:t>d</w:t>
      </w:r>
      <w:r w:rsidR="00844AF9">
        <w:t>ents demonstrate an unwillingness to participa</w:t>
      </w:r>
      <w:r w:rsidR="00227AC8">
        <w:t>te</w:t>
      </w:r>
      <w:r w:rsidR="00844AF9">
        <w:t xml:space="preserve"> in conciliation of a DDA complaint.</w:t>
      </w:r>
    </w:p>
    <w:p w14:paraId="3517627A" w14:textId="77777777" w:rsidR="00844AF9" w:rsidRDefault="00844AF9" w:rsidP="00240A4D">
      <w:pPr>
        <w:contextualSpacing/>
        <w:jc w:val="both"/>
      </w:pPr>
    </w:p>
    <w:p w14:paraId="25B9BBD8" w14:textId="23B94BA2" w:rsidR="00844AF9" w:rsidRDefault="005A42D2" w:rsidP="00240A4D">
      <w:pPr>
        <w:contextualSpacing/>
        <w:jc w:val="both"/>
      </w:pPr>
      <w:r>
        <w:t xml:space="preserve">The third aspect of the DDA complaints </w:t>
      </w:r>
      <w:r w:rsidR="00AC36E9">
        <w:t xml:space="preserve">mechanism </w:t>
      </w:r>
      <w:r w:rsidR="00F0713D">
        <w:t xml:space="preserve">that must be reformed is the </w:t>
      </w:r>
      <w:r w:rsidR="00717112">
        <w:t>lack of a</w:t>
      </w:r>
      <w:r w:rsidR="00284E03">
        <w:t>n effective</w:t>
      </w:r>
      <w:r w:rsidR="00717112">
        <w:t xml:space="preserve"> process for ensuring that there is a power equality between compl</w:t>
      </w:r>
      <w:r w:rsidR="00AC36E9">
        <w:t>ainants and respon</w:t>
      </w:r>
      <w:r w:rsidR="002C3322">
        <w:t>d</w:t>
      </w:r>
      <w:r w:rsidR="00AC36E9">
        <w:t xml:space="preserve">ents during </w:t>
      </w:r>
      <w:r w:rsidR="00CA3A2A">
        <w:t>investigation and attempted c</w:t>
      </w:r>
      <w:r w:rsidR="00AC36E9">
        <w:t xml:space="preserve">onciliation </w:t>
      </w:r>
      <w:r w:rsidR="00227AC8">
        <w:t>b</w:t>
      </w:r>
      <w:r w:rsidR="00AB116C">
        <w:t xml:space="preserve">y the AHRC. </w:t>
      </w:r>
      <w:r w:rsidR="005F4310">
        <w:t xml:space="preserve">Over time there appears to have been a gradual shift to a more </w:t>
      </w:r>
      <w:r w:rsidR="00AE6ADC">
        <w:t xml:space="preserve">formally </w:t>
      </w:r>
      <w:r w:rsidR="00BB037F">
        <w:t>legal</w:t>
      </w:r>
      <w:r w:rsidR="00AE6ADC">
        <w:t xml:space="preserve"> approach to conciliation</w:t>
      </w:r>
      <w:r w:rsidR="003A5702">
        <w:t>.</w:t>
      </w:r>
      <w:r w:rsidR="00AE6ADC">
        <w:t xml:space="preserve"> </w:t>
      </w:r>
      <w:r w:rsidR="00AB116C">
        <w:t>Clients have often told us that they feel intimidated</w:t>
      </w:r>
      <w:r w:rsidR="00B303AD">
        <w:t xml:space="preserve"> and disadvant</w:t>
      </w:r>
      <w:r w:rsidR="002C3322">
        <w:t>ag</w:t>
      </w:r>
      <w:r w:rsidR="00B303AD">
        <w:t>ed when respon</w:t>
      </w:r>
      <w:r w:rsidR="002C3322">
        <w:t>d</w:t>
      </w:r>
      <w:r w:rsidR="00B303AD">
        <w:t>ents are permitted to send teams of lawyers to a conciliation conference</w:t>
      </w:r>
      <w:r w:rsidR="00AD0840">
        <w:t>, or when respon</w:t>
      </w:r>
      <w:r w:rsidR="00D85A35">
        <w:t>d</w:t>
      </w:r>
      <w:r w:rsidR="00AD0840">
        <w:t xml:space="preserve">ents are given weeks or months to respond to proposals but they, the </w:t>
      </w:r>
      <w:r w:rsidR="00E177E6">
        <w:t xml:space="preserve">complainant, are only given a few days; or when </w:t>
      </w:r>
      <w:r w:rsidR="00642CCE">
        <w:t>they are e</w:t>
      </w:r>
      <w:r w:rsidR="001C0563">
        <w:t>xpected to sign a conciliation agreement that has been drawn up by the respondent’s lawyers and which contains highly legal language that is beyond the capacity of most complainants to understand</w:t>
      </w:r>
      <w:r w:rsidR="00BF1481">
        <w:t xml:space="preserve"> without </w:t>
      </w:r>
      <w:r w:rsidR="00EA2139">
        <w:t>expensive</w:t>
      </w:r>
      <w:r w:rsidR="00BF1481">
        <w:t xml:space="preserve"> legal advice that they cannot afford</w:t>
      </w:r>
      <w:r w:rsidR="001C0563">
        <w:t>.</w:t>
      </w:r>
      <w:r w:rsidR="003B675F">
        <w:t xml:space="preserve"> These factors usual</w:t>
      </w:r>
      <w:r w:rsidR="00BF1481">
        <w:t xml:space="preserve">ly occur </w:t>
      </w:r>
      <w:r w:rsidR="0083515D">
        <w:t>in combination, and their effect is to make the con</w:t>
      </w:r>
      <w:r w:rsidR="00DC68FC">
        <w:t>c</w:t>
      </w:r>
      <w:r w:rsidR="0083515D">
        <w:t>ili</w:t>
      </w:r>
      <w:r w:rsidR="00EA2139">
        <w:t>a</w:t>
      </w:r>
      <w:r w:rsidR="0083515D">
        <w:t xml:space="preserve">tion </w:t>
      </w:r>
      <w:r w:rsidR="0083515D">
        <w:lastRenderedPageBreak/>
        <w:t xml:space="preserve">much more </w:t>
      </w:r>
      <w:r w:rsidR="00FE7DB1">
        <w:t>stressful</w:t>
      </w:r>
      <w:r w:rsidR="00C53526">
        <w:t xml:space="preserve"> and protracted than it should be</w:t>
      </w:r>
      <w:r w:rsidR="009A5BA2">
        <w:t>, and to deter people from using the DDA again in the future</w:t>
      </w:r>
      <w:r w:rsidR="00C53526">
        <w:t>.</w:t>
      </w:r>
    </w:p>
    <w:p w14:paraId="0251A246" w14:textId="77777777" w:rsidR="00DC68FC" w:rsidRDefault="00DC68FC" w:rsidP="00240A4D">
      <w:pPr>
        <w:contextualSpacing/>
        <w:jc w:val="both"/>
      </w:pPr>
    </w:p>
    <w:p w14:paraId="589F15C1" w14:textId="1B7E0F9A" w:rsidR="000E3C3D" w:rsidRDefault="00A819F7" w:rsidP="00240A4D">
      <w:pPr>
        <w:contextualSpacing/>
        <w:jc w:val="both"/>
      </w:pPr>
      <w:r>
        <w:t>We believe that s</w:t>
      </w:r>
      <w:r w:rsidR="003E4973">
        <w:t xml:space="preserve">erious consideration must be given to amending the </w:t>
      </w:r>
      <w:r w:rsidR="00E733C1">
        <w:t xml:space="preserve">DDA to </w:t>
      </w:r>
      <w:r w:rsidR="003E4973">
        <w:t xml:space="preserve">include </w:t>
      </w:r>
      <w:r w:rsidR="00A00D6E">
        <w:t xml:space="preserve">more guidance </w:t>
      </w:r>
      <w:r w:rsidR="00D4173E">
        <w:t>about how the conciliation process should</w:t>
      </w:r>
      <w:r w:rsidR="007B0783">
        <w:t xml:space="preserve"> be conducted so as to prevent a power imbalance between the parties</w:t>
      </w:r>
      <w:r w:rsidR="00070ABB">
        <w:t>,</w:t>
      </w:r>
      <w:r w:rsidR="007B0783">
        <w:t xml:space="preserve"> and </w:t>
      </w:r>
      <w:r w:rsidR="00F33769">
        <w:t>minimise stress for individual complainants with a disability.</w:t>
      </w:r>
    </w:p>
    <w:p w14:paraId="4E2935B3" w14:textId="77777777" w:rsidR="000E3C3D" w:rsidRDefault="000E3C3D" w:rsidP="00240A4D">
      <w:pPr>
        <w:contextualSpacing/>
        <w:jc w:val="both"/>
      </w:pPr>
      <w:r>
        <w:br w:type="page"/>
      </w:r>
    </w:p>
    <w:p w14:paraId="3CE498B2" w14:textId="6A0C6E5D" w:rsidR="009715D4" w:rsidRDefault="009715D4" w:rsidP="00240A4D">
      <w:pPr>
        <w:pStyle w:val="Heading2"/>
        <w:spacing w:before="0" w:after="0"/>
        <w:contextualSpacing/>
        <w:jc w:val="both"/>
        <w:rPr>
          <w:lang w:val="en-AU"/>
        </w:rPr>
      </w:pPr>
      <w:r w:rsidRPr="00AA1E9F">
        <w:rPr>
          <w:lang w:val="en-AU"/>
        </w:rPr>
        <w:lastRenderedPageBreak/>
        <w:t>About Vision Australia</w:t>
      </w:r>
    </w:p>
    <w:p w14:paraId="45830AB6" w14:textId="77777777" w:rsidR="00240A4D" w:rsidRPr="00240A4D" w:rsidRDefault="00240A4D" w:rsidP="00240A4D"/>
    <w:p w14:paraId="28C2BAAF" w14:textId="77777777" w:rsidR="009715D4" w:rsidRPr="00AA1E9F" w:rsidRDefault="009715D4" w:rsidP="00240A4D">
      <w:pPr>
        <w:contextualSpacing/>
        <w:jc w:val="both"/>
        <w:rPr>
          <w:szCs w:val="24"/>
        </w:rPr>
      </w:pPr>
      <w:r w:rsidRPr="00AA1E9F">
        <w:rPr>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51809321" w14:textId="77777777" w:rsidR="009715D4" w:rsidRPr="00AA1E9F" w:rsidRDefault="009715D4" w:rsidP="00240A4D">
      <w:pPr>
        <w:contextualSpacing/>
        <w:jc w:val="both"/>
        <w:rPr>
          <w:szCs w:val="24"/>
        </w:rPr>
      </w:pPr>
    </w:p>
    <w:p w14:paraId="4C9944BC" w14:textId="77777777" w:rsidR="009715D4" w:rsidRPr="00AA1E9F" w:rsidRDefault="009715D4" w:rsidP="00240A4D">
      <w:pPr>
        <w:contextualSpacing/>
        <w:jc w:val="both"/>
        <w:rPr>
          <w:szCs w:val="24"/>
        </w:rPr>
      </w:pPr>
      <w:r w:rsidRPr="00AA1E9F">
        <w:rPr>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EEEC1C8" w14:textId="77777777" w:rsidR="009715D4" w:rsidRPr="00AA1E9F" w:rsidRDefault="009715D4" w:rsidP="00240A4D">
      <w:pPr>
        <w:contextualSpacing/>
        <w:jc w:val="both"/>
        <w:rPr>
          <w:szCs w:val="24"/>
        </w:rPr>
      </w:pPr>
    </w:p>
    <w:p w14:paraId="188CD533" w14:textId="4EB54631" w:rsidR="009715D4" w:rsidRPr="00AA1E9F" w:rsidRDefault="009715D4" w:rsidP="00240A4D">
      <w:pPr>
        <w:contextualSpacing/>
        <w:jc w:val="both"/>
        <w:rPr>
          <w:szCs w:val="24"/>
        </w:rPr>
      </w:pPr>
      <w:r w:rsidRPr="00AA1E9F">
        <w:rPr>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6DDBBA33" w14:textId="77777777" w:rsidR="009715D4" w:rsidRPr="00AA1E9F" w:rsidRDefault="009715D4" w:rsidP="00240A4D">
      <w:pPr>
        <w:contextualSpacing/>
        <w:jc w:val="both"/>
        <w:rPr>
          <w:szCs w:val="24"/>
        </w:rPr>
      </w:pPr>
    </w:p>
    <w:p w14:paraId="21832AF8" w14:textId="77777777" w:rsidR="009715D4" w:rsidRPr="00AA1E9F" w:rsidRDefault="009715D4" w:rsidP="00240A4D">
      <w:pPr>
        <w:contextualSpacing/>
        <w:jc w:val="both"/>
        <w:rPr>
          <w:szCs w:val="24"/>
        </w:rPr>
      </w:pPr>
      <w:r w:rsidRPr="00AA1E9F">
        <w:rPr>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40142A0F" w14:textId="77777777" w:rsidR="009715D4" w:rsidRPr="00AA1E9F" w:rsidRDefault="009715D4" w:rsidP="00240A4D">
      <w:pPr>
        <w:contextualSpacing/>
        <w:jc w:val="both"/>
        <w:rPr>
          <w:szCs w:val="24"/>
        </w:rPr>
      </w:pPr>
    </w:p>
    <w:p w14:paraId="609E639B" w14:textId="77777777" w:rsidR="009715D4" w:rsidRPr="00AA1E9F" w:rsidRDefault="009715D4" w:rsidP="00240A4D">
      <w:pPr>
        <w:contextualSpacing/>
        <w:jc w:val="both"/>
        <w:rPr>
          <w:szCs w:val="24"/>
        </w:rPr>
      </w:pPr>
      <w:r w:rsidRPr="00AA1E9F">
        <w:rPr>
          <w:szCs w:val="24"/>
        </w:rPr>
        <w:t xml:space="preserve">We have a vibrant Client Reference Group, with people who are blind or have low vision representing the voice and needs of clients of our organisation to the board and management. </w:t>
      </w:r>
    </w:p>
    <w:p w14:paraId="37600933" w14:textId="77777777" w:rsidR="009715D4" w:rsidRPr="00AA1E9F" w:rsidRDefault="009715D4" w:rsidP="00240A4D">
      <w:pPr>
        <w:contextualSpacing/>
        <w:jc w:val="both"/>
        <w:rPr>
          <w:szCs w:val="24"/>
        </w:rPr>
      </w:pPr>
    </w:p>
    <w:p w14:paraId="7A4DC5D6" w14:textId="77777777" w:rsidR="009715D4" w:rsidRPr="00AA1E9F" w:rsidRDefault="009715D4" w:rsidP="00240A4D">
      <w:pPr>
        <w:contextualSpacing/>
        <w:jc w:val="both"/>
        <w:rPr>
          <w:szCs w:val="24"/>
        </w:rPr>
      </w:pPr>
      <w:r w:rsidRPr="00AA1E9F">
        <w:rPr>
          <w:szCs w:val="24"/>
        </w:rPr>
        <w:t>Vision Australia is also a significant employer of people who are blind or have low vision, with 15% of total staff having vision impairment.</w:t>
      </w:r>
    </w:p>
    <w:p w14:paraId="5B40A64A" w14:textId="77777777" w:rsidR="009715D4" w:rsidRPr="00AA1E9F" w:rsidRDefault="009715D4" w:rsidP="009715D4"/>
    <w:sectPr w:rsidR="009715D4" w:rsidRPr="00AA1E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9FC5" w14:textId="77777777" w:rsidR="00640C5F" w:rsidRDefault="00640C5F" w:rsidP="00964282">
      <w:r>
        <w:separator/>
      </w:r>
    </w:p>
  </w:endnote>
  <w:endnote w:type="continuationSeparator" w:id="0">
    <w:p w14:paraId="737B9811" w14:textId="77777777" w:rsidR="00640C5F" w:rsidRDefault="00640C5F" w:rsidP="0096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FC07" w14:textId="77777777" w:rsidR="00640C5F" w:rsidRDefault="00640C5F" w:rsidP="00964282">
      <w:r>
        <w:separator/>
      </w:r>
    </w:p>
  </w:footnote>
  <w:footnote w:type="continuationSeparator" w:id="0">
    <w:p w14:paraId="115284A0" w14:textId="77777777" w:rsidR="00640C5F" w:rsidRDefault="00640C5F" w:rsidP="00964282">
      <w:r>
        <w:continuationSeparator/>
      </w:r>
    </w:p>
  </w:footnote>
  <w:footnote w:id="1">
    <w:p w14:paraId="4CBB6DD0" w14:textId="4FC4CE30" w:rsidR="008616AD" w:rsidRPr="00B83900" w:rsidRDefault="008616AD">
      <w:pPr>
        <w:pStyle w:val="FootnoteText"/>
      </w:pPr>
      <w:r>
        <w:rPr>
          <w:rStyle w:val="FootnoteReference"/>
        </w:rPr>
        <w:footnoteRef/>
      </w:r>
      <w:r>
        <w:t xml:space="preserve"> </w:t>
      </w:r>
      <w:r w:rsidR="00CA02F8">
        <w:t xml:space="preserve">Cf. Walker, Nick (2021): </w:t>
      </w:r>
      <w:proofErr w:type="spellStart"/>
      <w:r w:rsidR="00CA02F8">
        <w:rPr>
          <w:i/>
          <w:iCs/>
        </w:rPr>
        <w:t>Neuroqueer</w:t>
      </w:r>
      <w:proofErr w:type="spellEnd"/>
      <w:r w:rsidR="00CA02F8">
        <w:rPr>
          <w:i/>
          <w:iCs/>
        </w:rPr>
        <w:t xml:space="preserve"> Heresi</w:t>
      </w:r>
      <w:r w:rsidR="00750465">
        <w:rPr>
          <w:i/>
          <w:iCs/>
        </w:rPr>
        <w:t>e</w:t>
      </w:r>
      <w:r w:rsidR="00CA02F8">
        <w:rPr>
          <w:i/>
          <w:iCs/>
        </w:rPr>
        <w:t>s</w:t>
      </w:r>
      <w:r w:rsidR="008F6FE4">
        <w:rPr>
          <w:i/>
          <w:iCs/>
        </w:rPr>
        <w:t xml:space="preserve">: </w:t>
      </w:r>
      <w:r w:rsidR="0019056D">
        <w:rPr>
          <w:i/>
          <w:iCs/>
        </w:rPr>
        <w:t xml:space="preserve">Notes </w:t>
      </w:r>
      <w:r w:rsidR="00A73BE6">
        <w:rPr>
          <w:i/>
          <w:iCs/>
        </w:rPr>
        <w:t>on the Neurodiversity Paradigm, Autistic Empowerment</w:t>
      </w:r>
      <w:r w:rsidR="00B83900">
        <w:rPr>
          <w:i/>
          <w:iCs/>
        </w:rPr>
        <w:t xml:space="preserve">, and </w:t>
      </w:r>
      <w:proofErr w:type="spellStart"/>
      <w:r w:rsidR="00B83900">
        <w:rPr>
          <w:i/>
          <w:iCs/>
        </w:rPr>
        <w:t>Postnormal</w:t>
      </w:r>
      <w:proofErr w:type="spellEnd"/>
      <w:r w:rsidR="00B83900">
        <w:rPr>
          <w:i/>
          <w:iCs/>
        </w:rPr>
        <w:t xml:space="preserve"> Possibilities</w:t>
      </w:r>
      <w:r w:rsidR="00B83900">
        <w:t xml:space="preserve">, </w:t>
      </w:r>
      <w:r w:rsidR="0087581A">
        <w:t>Autonom</w:t>
      </w:r>
      <w:r w:rsidR="00220DDE">
        <w:t>ou</w:t>
      </w:r>
      <w:r w:rsidR="0087581A">
        <w:t>s Press.</w:t>
      </w:r>
    </w:p>
  </w:footnote>
  <w:footnote w:id="2">
    <w:p w14:paraId="360D2682" w14:textId="007956F3" w:rsidR="006069A9" w:rsidRPr="00F87AA9" w:rsidRDefault="006069A9">
      <w:pPr>
        <w:pStyle w:val="FootnoteText"/>
      </w:pPr>
      <w:r>
        <w:rPr>
          <w:rStyle w:val="FootnoteReference"/>
        </w:rPr>
        <w:footnoteRef/>
      </w:r>
      <w:r>
        <w:t xml:space="preserve"> </w:t>
      </w:r>
      <w:r w:rsidR="00D45529">
        <w:t xml:space="preserve">Vision Australia (2020): </w:t>
      </w:r>
      <w:r w:rsidR="00D45529">
        <w:rPr>
          <w:i/>
          <w:iCs/>
        </w:rPr>
        <w:t>Respon</w:t>
      </w:r>
      <w:r w:rsidR="006C3F61">
        <w:rPr>
          <w:i/>
          <w:iCs/>
        </w:rPr>
        <w:t>se</w:t>
      </w:r>
      <w:r w:rsidR="00D45529">
        <w:rPr>
          <w:i/>
          <w:iCs/>
        </w:rPr>
        <w:t xml:space="preserve"> to Disability Royal Commission Employment </w:t>
      </w:r>
      <w:r w:rsidR="00F87AA9">
        <w:rPr>
          <w:i/>
          <w:iCs/>
        </w:rPr>
        <w:t>Issues Paper</w:t>
      </w:r>
      <w:r w:rsidR="00F87AA9">
        <w:t>, Kooyon</w:t>
      </w:r>
      <w:r w:rsidR="00496795">
        <w:t>g</w:t>
      </w:r>
      <w:r w:rsidR="00F87AA9">
        <w:t>.</w:t>
      </w:r>
    </w:p>
  </w:footnote>
  <w:footnote w:id="3">
    <w:p w14:paraId="04AEB8FC" w14:textId="62B39B7D" w:rsidR="000D0121" w:rsidRDefault="000D0121">
      <w:pPr>
        <w:pStyle w:val="FootnoteText"/>
      </w:pPr>
      <w:r>
        <w:rPr>
          <w:rStyle w:val="FootnoteReference"/>
        </w:rPr>
        <w:footnoteRef/>
      </w:r>
      <w:r>
        <w:t xml:space="preserve"> An example of a Blindchallenge video can be found here:</w:t>
      </w:r>
    </w:p>
    <w:p w14:paraId="7EDB3CF1" w14:textId="6FCED15F" w:rsidR="005E2B8C" w:rsidRDefault="00F102B1">
      <w:pPr>
        <w:pStyle w:val="FootnoteText"/>
      </w:pPr>
      <w:r w:rsidRPr="00F102B1">
        <w:t>https://www.tiktok.com/@bladtfitzgerald/video/7562205442215070989</w:t>
      </w:r>
    </w:p>
    <w:p w14:paraId="66FB3090" w14:textId="77777777" w:rsidR="000D0121" w:rsidRDefault="000D0121">
      <w:pPr>
        <w:pStyle w:val="FootnoteText"/>
      </w:pPr>
    </w:p>
  </w:footnote>
  <w:footnote w:id="4">
    <w:p w14:paraId="1216B6AC" w14:textId="5C61A11C" w:rsidR="000D386D" w:rsidRDefault="000D386D">
      <w:pPr>
        <w:pStyle w:val="FootnoteText"/>
      </w:pPr>
      <w:r>
        <w:rPr>
          <w:rStyle w:val="FootnoteReference"/>
        </w:rPr>
        <w:footnoteRef/>
      </w:r>
      <w:r>
        <w:t xml:space="preserve"> </w:t>
      </w:r>
      <w:r w:rsidR="00E51681">
        <w:t xml:space="preserve">An example, produced by an Australian influencer with 2 million followers, </w:t>
      </w:r>
      <w:proofErr w:type="spellStart"/>
      <w:r w:rsidR="000653FE">
        <w:t>canbe</w:t>
      </w:r>
      <w:proofErr w:type="spellEnd"/>
      <w:r w:rsidR="000653FE">
        <w:t xml:space="preserve"> found here:</w:t>
      </w:r>
    </w:p>
    <w:p w14:paraId="36372AFC" w14:textId="15DA4259" w:rsidR="000653FE" w:rsidRDefault="00C820A8">
      <w:pPr>
        <w:pStyle w:val="FootnoteText"/>
      </w:pPr>
      <w:r w:rsidRPr="00C820A8">
        <w:t>https://www.youtube.com/watch?v=FGk6bJ6beEU</w:t>
      </w:r>
    </w:p>
  </w:footnote>
  <w:footnote w:id="5">
    <w:p w14:paraId="1549A46F" w14:textId="3BB415C1" w:rsidR="005A5795" w:rsidRDefault="005A5795">
      <w:pPr>
        <w:pStyle w:val="FootnoteText"/>
      </w:pPr>
      <w:r>
        <w:rPr>
          <w:rStyle w:val="FootnoteReference"/>
        </w:rPr>
        <w:footnoteRef/>
      </w:r>
      <w:r>
        <w:t xml:space="preserve"> </w:t>
      </w:r>
      <w:r w:rsidR="00DD5656">
        <w:t xml:space="preserve">In this case the Digital Accreditation Rules 2024 refer to the Web Content Accessibility Standards as the </w:t>
      </w:r>
      <w:r w:rsidR="00496FC9">
        <w:t>standards with which accredited entities must comply.</w:t>
      </w:r>
    </w:p>
  </w:footnote>
  <w:footnote w:id="6">
    <w:p w14:paraId="0C58DA1E" w14:textId="6550F5B1" w:rsidR="006B0D5F" w:rsidRDefault="006B0D5F">
      <w:pPr>
        <w:pStyle w:val="FootnoteText"/>
      </w:pPr>
      <w:r>
        <w:rPr>
          <w:rStyle w:val="FootnoteReference"/>
        </w:rPr>
        <w:footnoteRef/>
      </w:r>
      <w:r>
        <w:t xml:space="preserve"> In 201</w:t>
      </w:r>
      <w:r w:rsidR="00A82A4D">
        <w:t xml:space="preserve">5 </w:t>
      </w:r>
      <w:r>
        <w:t>Vision Australia lodged a DDA complaint on behalf of our client</w:t>
      </w:r>
      <w:r w:rsidR="00CA53E6">
        <w:t xml:space="preserve">s against the free TV networks because of the lack of audio-described content. The networks would not participate in conciliation, and the AHRC refused our request to its powers to require attendance. As a result the </w:t>
      </w:r>
      <w:r w:rsidR="00F23727">
        <w:t xml:space="preserve"> </w:t>
      </w:r>
      <w:r w:rsidR="00CA53E6">
        <w:t>complaint was terminate</w:t>
      </w:r>
      <w:r w:rsidR="002239C2">
        <w:t>d, and there is still no audio-described content provided on free TV.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3384"/>
    <w:multiLevelType w:val="hybridMultilevel"/>
    <w:tmpl w:val="20C0EDE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654D8E"/>
    <w:multiLevelType w:val="hybridMultilevel"/>
    <w:tmpl w:val="E7D0DB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FA95C0D"/>
    <w:multiLevelType w:val="hybridMultilevel"/>
    <w:tmpl w:val="35CAFABC"/>
    <w:lvl w:ilvl="0" w:tplc="2E8AE6DC">
      <w:start w:val="16"/>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642FD8"/>
    <w:multiLevelType w:val="hybridMultilevel"/>
    <w:tmpl w:val="74C4EBB8"/>
    <w:lvl w:ilvl="0" w:tplc="0C09000F">
      <w:start w:val="1"/>
      <w:numFmt w:val="decimal"/>
      <w:lvlText w:val="%1."/>
      <w:lvlJc w:val="left"/>
      <w:pPr>
        <w:ind w:left="765" w:hanging="40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780BAC"/>
    <w:multiLevelType w:val="hybridMultilevel"/>
    <w:tmpl w:val="9EDCDCF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FFB62F6"/>
    <w:multiLevelType w:val="hybridMultilevel"/>
    <w:tmpl w:val="6358BAC4"/>
    <w:lvl w:ilvl="0" w:tplc="A352E980">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6" w15:restartNumberingAfterBreak="0">
    <w:nsid w:val="4A265BD9"/>
    <w:multiLevelType w:val="hybridMultilevel"/>
    <w:tmpl w:val="AEBE3812"/>
    <w:lvl w:ilvl="0" w:tplc="5FDE3CFC">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C675515"/>
    <w:multiLevelType w:val="hybridMultilevel"/>
    <w:tmpl w:val="123AA880"/>
    <w:lvl w:ilvl="0" w:tplc="3392DF24">
      <w:start w:val="1"/>
      <w:numFmt w:val="lowerLetter"/>
      <w:lvlText w:val="(%1)"/>
      <w:lvlJc w:val="left"/>
      <w:pPr>
        <w:ind w:left="1125" w:hanging="360"/>
      </w:pPr>
      <w:rPr>
        <w:rFonts w:hint="default"/>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8" w15:restartNumberingAfterBreak="0">
    <w:nsid w:val="609454C4"/>
    <w:multiLevelType w:val="hybridMultilevel"/>
    <w:tmpl w:val="C3E0E7A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9AF2D4D"/>
    <w:multiLevelType w:val="hybridMultilevel"/>
    <w:tmpl w:val="6AEC728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39846285">
    <w:abstractNumId w:val="8"/>
  </w:num>
  <w:num w:numId="2" w16cid:durableId="179397015">
    <w:abstractNumId w:val="9"/>
  </w:num>
  <w:num w:numId="3" w16cid:durableId="774591004">
    <w:abstractNumId w:val="4"/>
  </w:num>
  <w:num w:numId="4" w16cid:durableId="1677685936">
    <w:abstractNumId w:val="6"/>
  </w:num>
  <w:num w:numId="5" w16cid:durableId="1547063965">
    <w:abstractNumId w:val="0"/>
  </w:num>
  <w:num w:numId="6" w16cid:durableId="2093235125">
    <w:abstractNumId w:val="3"/>
  </w:num>
  <w:num w:numId="7" w16cid:durableId="743644008">
    <w:abstractNumId w:val="7"/>
  </w:num>
  <w:num w:numId="8" w16cid:durableId="1578058094">
    <w:abstractNumId w:val="5"/>
  </w:num>
  <w:num w:numId="9" w16cid:durableId="156121415">
    <w:abstractNumId w:val="1"/>
  </w:num>
  <w:num w:numId="10" w16cid:durableId="79260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D4"/>
    <w:rsid w:val="000000DF"/>
    <w:rsid w:val="00000225"/>
    <w:rsid w:val="000012DF"/>
    <w:rsid w:val="0000343E"/>
    <w:rsid w:val="00004815"/>
    <w:rsid w:val="00004B95"/>
    <w:rsid w:val="00006629"/>
    <w:rsid w:val="00010698"/>
    <w:rsid w:val="0001077D"/>
    <w:rsid w:val="00013C98"/>
    <w:rsid w:val="00017F7E"/>
    <w:rsid w:val="00023087"/>
    <w:rsid w:val="00023D52"/>
    <w:rsid w:val="00024862"/>
    <w:rsid w:val="00026CA3"/>
    <w:rsid w:val="00030CE4"/>
    <w:rsid w:val="0003172E"/>
    <w:rsid w:val="00031B59"/>
    <w:rsid w:val="00034F35"/>
    <w:rsid w:val="00035032"/>
    <w:rsid w:val="00035159"/>
    <w:rsid w:val="000366AB"/>
    <w:rsid w:val="00037E6A"/>
    <w:rsid w:val="000406E8"/>
    <w:rsid w:val="00041142"/>
    <w:rsid w:val="00041403"/>
    <w:rsid w:val="00041B3F"/>
    <w:rsid w:val="00042EC6"/>
    <w:rsid w:val="00042FD0"/>
    <w:rsid w:val="00043144"/>
    <w:rsid w:val="0004436B"/>
    <w:rsid w:val="0004469D"/>
    <w:rsid w:val="000447FE"/>
    <w:rsid w:val="00045D8F"/>
    <w:rsid w:val="00047E01"/>
    <w:rsid w:val="00051EFB"/>
    <w:rsid w:val="0005232A"/>
    <w:rsid w:val="00056C8E"/>
    <w:rsid w:val="000623ED"/>
    <w:rsid w:val="000633DB"/>
    <w:rsid w:val="00063481"/>
    <w:rsid w:val="00063A02"/>
    <w:rsid w:val="000645B9"/>
    <w:rsid w:val="00064933"/>
    <w:rsid w:val="000653FE"/>
    <w:rsid w:val="000667D2"/>
    <w:rsid w:val="00067166"/>
    <w:rsid w:val="00070163"/>
    <w:rsid w:val="0007059D"/>
    <w:rsid w:val="00070ABB"/>
    <w:rsid w:val="00072991"/>
    <w:rsid w:val="000740C0"/>
    <w:rsid w:val="00075650"/>
    <w:rsid w:val="00075C94"/>
    <w:rsid w:val="0007613B"/>
    <w:rsid w:val="000770E1"/>
    <w:rsid w:val="00080E28"/>
    <w:rsid w:val="00081346"/>
    <w:rsid w:val="00082DD2"/>
    <w:rsid w:val="00083FF9"/>
    <w:rsid w:val="00084754"/>
    <w:rsid w:val="00085D2F"/>
    <w:rsid w:val="00086392"/>
    <w:rsid w:val="00087FB6"/>
    <w:rsid w:val="000905E9"/>
    <w:rsid w:val="0009116B"/>
    <w:rsid w:val="00091DCD"/>
    <w:rsid w:val="00094113"/>
    <w:rsid w:val="00094451"/>
    <w:rsid w:val="00095672"/>
    <w:rsid w:val="000959B7"/>
    <w:rsid w:val="00096B7B"/>
    <w:rsid w:val="0009758A"/>
    <w:rsid w:val="00097A32"/>
    <w:rsid w:val="000A0460"/>
    <w:rsid w:val="000A179C"/>
    <w:rsid w:val="000A1B8E"/>
    <w:rsid w:val="000A231F"/>
    <w:rsid w:val="000A3B99"/>
    <w:rsid w:val="000A4352"/>
    <w:rsid w:val="000A4969"/>
    <w:rsid w:val="000A4CDB"/>
    <w:rsid w:val="000A5D40"/>
    <w:rsid w:val="000A6519"/>
    <w:rsid w:val="000A6651"/>
    <w:rsid w:val="000B04C9"/>
    <w:rsid w:val="000B19B3"/>
    <w:rsid w:val="000B45C3"/>
    <w:rsid w:val="000B5F1B"/>
    <w:rsid w:val="000B6E33"/>
    <w:rsid w:val="000C1BD7"/>
    <w:rsid w:val="000C1FF4"/>
    <w:rsid w:val="000C3046"/>
    <w:rsid w:val="000C3AD1"/>
    <w:rsid w:val="000C56ED"/>
    <w:rsid w:val="000C5A43"/>
    <w:rsid w:val="000C5ED1"/>
    <w:rsid w:val="000C6521"/>
    <w:rsid w:val="000C682A"/>
    <w:rsid w:val="000C6BA7"/>
    <w:rsid w:val="000C7621"/>
    <w:rsid w:val="000D0121"/>
    <w:rsid w:val="000D0F27"/>
    <w:rsid w:val="000D33B1"/>
    <w:rsid w:val="000D386D"/>
    <w:rsid w:val="000D39BC"/>
    <w:rsid w:val="000D3FF4"/>
    <w:rsid w:val="000D5255"/>
    <w:rsid w:val="000D5298"/>
    <w:rsid w:val="000D7973"/>
    <w:rsid w:val="000E0940"/>
    <w:rsid w:val="000E0FD1"/>
    <w:rsid w:val="000E1850"/>
    <w:rsid w:val="000E1D59"/>
    <w:rsid w:val="000E2C51"/>
    <w:rsid w:val="000E334E"/>
    <w:rsid w:val="000E3C3D"/>
    <w:rsid w:val="000E49A5"/>
    <w:rsid w:val="000E5536"/>
    <w:rsid w:val="000E56A3"/>
    <w:rsid w:val="000E6686"/>
    <w:rsid w:val="000E7130"/>
    <w:rsid w:val="000E71BA"/>
    <w:rsid w:val="000E71EA"/>
    <w:rsid w:val="000F04EE"/>
    <w:rsid w:val="000F09A6"/>
    <w:rsid w:val="000F0F72"/>
    <w:rsid w:val="000F3635"/>
    <w:rsid w:val="000F535A"/>
    <w:rsid w:val="00100CD0"/>
    <w:rsid w:val="0010117F"/>
    <w:rsid w:val="00101668"/>
    <w:rsid w:val="00101D2E"/>
    <w:rsid w:val="00102181"/>
    <w:rsid w:val="001027B6"/>
    <w:rsid w:val="0010359B"/>
    <w:rsid w:val="00105E0E"/>
    <w:rsid w:val="001068E8"/>
    <w:rsid w:val="0010792B"/>
    <w:rsid w:val="00107C5A"/>
    <w:rsid w:val="0011037C"/>
    <w:rsid w:val="00115749"/>
    <w:rsid w:val="00115ECA"/>
    <w:rsid w:val="00115ED3"/>
    <w:rsid w:val="0011629F"/>
    <w:rsid w:val="00121705"/>
    <w:rsid w:val="00121978"/>
    <w:rsid w:val="00122194"/>
    <w:rsid w:val="0012302C"/>
    <w:rsid w:val="00125D1D"/>
    <w:rsid w:val="0012794D"/>
    <w:rsid w:val="00130192"/>
    <w:rsid w:val="001305F9"/>
    <w:rsid w:val="00130D84"/>
    <w:rsid w:val="00132434"/>
    <w:rsid w:val="0013341A"/>
    <w:rsid w:val="0013409E"/>
    <w:rsid w:val="0013452E"/>
    <w:rsid w:val="00134DDF"/>
    <w:rsid w:val="0013516A"/>
    <w:rsid w:val="00135BE8"/>
    <w:rsid w:val="00135BEB"/>
    <w:rsid w:val="001361A9"/>
    <w:rsid w:val="00136DFD"/>
    <w:rsid w:val="00137749"/>
    <w:rsid w:val="00140BAA"/>
    <w:rsid w:val="00140D60"/>
    <w:rsid w:val="00141817"/>
    <w:rsid w:val="00143CC7"/>
    <w:rsid w:val="0014427B"/>
    <w:rsid w:val="00144E26"/>
    <w:rsid w:val="001453FA"/>
    <w:rsid w:val="001463C4"/>
    <w:rsid w:val="001464F5"/>
    <w:rsid w:val="00147426"/>
    <w:rsid w:val="00147A29"/>
    <w:rsid w:val="001500E8"/>
    <w:rsid w:val="00152E0D"/>
    <w:rsid w:val="001535E9"/>
    <w:rsid w:val="00153EC7"/>
    <w:rsid w:val="00154516"/>
    <w:rsid w:val="00154EE6"/>
    <w:rsid w:val="00154F07"/>
    <w:rsid w:val="00155FA6"/>
    <w:rsid w:val="00157059"/>
    <w:rsid w:val="00157165"/>
    <w:rsid w:val="0015750A"/>
    <w:rsid w:val="00164472"/>
    <w:rsid w:val="00165915"/>
    <w:rsid w:val="001660F6"/>
    <w:rsid w:val="001719F5"/>
    <w:rsid w:val="0017273B"/>
    <w:rsid w:val="00173170"/>
    <w:rsid w:val="00173427"/>
    <w:rsid w:val="00176099"/>
    <w:rsid w:val="00180008"/>
    <w:rsid w:val="00182301"/>
    <w:rsid w:val="00182EF4"/>
    <w:rsid w:val="00183033"/>
    <w:rsid w:val="00184026"/>
    <w:rsid w:val="00184307"/>
    <w:rsid w:val="001871F0"/>
    <w:rsid w:val="00187FA1"/>
    <w:rsid w:val="00190123"/>
    <w:rsid w:val="0019056D"/>
    <w:rsid w:val="00191CA0"/>
    <w:rsid w:val="00191CEE"/>
    <w:rsid w:val="0019293C"/>
    <w:rsid w:val="00192E4D"/>
    <w:rsid w:val="001935D3"/>
    <w:rsid w:val="00193B18"/>
    <w:rsid w:val="00194247"/>
    <w:rsid w:val="00195E41"/>
    <w:rsid w:val="0019602C"/>
    <w:rsid w:val="00196483"/>
    <w:rsid w:val="001A2D5A"/>
    <w:rsid w:val="001A3423"/>
    <w:rsid w:val="001A3594"/>
    <w:rsid w:val="001A3838"/>
    <w:rsid w:val="001A50E3"/>
    <w:rsid w:val="001A55AC"/>
    <w:rsid w:val="001A5E00"/>
    <w:rsid w:val="001A711B"/>
    <w:rsid w:val="001B3318"/>
    <w:rsid w:val="001B3352"/>
    <w:rsid w:val="001B5166"/>
    <w:rsid w:val="001B5A77"/>
    <w:rsid w:val="001B64DD"/>
    <w:rsid w:val="001B6A8C"/>
    <w:rsid w:val="001C027E"/>
    <w:rsid w:val="001C0563"/>
    <w:rsid w:val="001C17BA"/>
    <w:rsid w:val="001C18EE"/>
    <w:rsid w:val="001C2947"/>
    <w:rsid w:val="001C31B4"/>
    <w:rsid w:val="001C3847"/>
    <w:rsid w:val="001C4681"/>
    <w:rsid w:val="001C4CC2"/>
    <w:rsid w:val="001C556A"/>
    <w:rsid w:val="001D0EDF"/>
    <w:rsid w:val="001D0FC2"/>
    <w:rsid w:val="001D10D2"/>
    <w:rsid w:val="001D3AF9"/>
    <w:rsid w:val="001D3D7A"/>
    <w:rsid w:val="001D48A2"/>
    <w:rsid w:val="001D49E3"/>
    <w:rsid w:val="001D4BDB"/>
    <w:rsid w:val="001D544D"/>
    <w:rsid w:val="001E03EF"/>
    <w:rsid w:val="001E16B2"/>
    <w:rsid w:val="001E238C"/>
    <w:rsid w:val="001E33D1"/>
    <w:rsid w:val="001E33E4"/>
    <w:rsid w:val="001E461E"/>
    <w:rsid w:val="001E5C7B"/>
    <w:rsid w:val="001E6393"/>
    <w:rsid w:val="001E6AC8"/>
    <w:rsid w:val="001F16E5"/>
    <w:rsid w:val="001F195B"/>
    <w:rsid w:val="001F19DB"/>
    <w:rsid w:val="001F1F27"/>
    <w:rsid w:val="001F237C"/>
    <w:rsid w:val="001F51C5"/>
    <w:rsid w:val="001F6282"/>
    <w:rsid w:val="001F6997"/>
    <w:rsid w:val="001F7986"/>
    <w:rsid w:val="001F7A07"/>
    <w:rsid w:val="00203B47"/>
    <w:rsid w:val="002057E2"/>
    <w:rsid w:val="00205C8F"/>
    <w:rsid w:val="0021128A"/>
    <w:rsid w:val="00211A96"/>
    <w:rsid w:val="00211A9D"/>
    <w:rsid w:val="00211D68"/>
    <w:rsid w:val="002129F3"/>
    <w:rsid w:val="0021480E"/>
    <w:rsid w:val="00214B75"/>
    <w:rsid w:val="00214BF4"/>
    <w:rsid w:val="00214EA2"/>
    <w:rsid w:val="002150EE"/>
    <w:rsid w:val="00216563"/>
    <w:rsid w:val="00217126"/>
    <w:rsid w:val="00217825"/>
    <w:rsid w:val="00220DDE"/>
    <w:rsid w:val="00221D7A"/>
    <w:rsid w:val="002239C2"/>
    <w:rsid w:val="0022408E"/>
    <w:rsid w:val="00225A0C"/>
    <w:rsid w:val="002261DA"/>
    <w:rsid w:val="0022720F"/>
    <w:rsid w:val="00227AC8"/>
    <w:rsid w:val="002328D7"/>
    <w:rsid w:val="002337C7"/>
    <w:rsid w:val="00233D52"/>
    <w:rsid w:val="002346F8"/>
    <w:rsid w:val="00235696"/>
    <w:rsid w:val="00236B62"/>
    <w:rsid w:val="00240A4D"/>
    <w:rsid w:val="00240E06"/>
    <w:rsid w:val="00240FD6"/>
    <w:rsid w:val="002429C7"/>
    <w:rsid w:val="0024405E"/>
    <w:rsid w:val="002440A0"/>
    <w:rsid w:val="00244342"/>
    <w:rsid w:val="00244355"/>
    <w:rsid w:val="0024537D"/>
    <w:rsid w:val="00245C16"/>
    <w:rsid w:val="002468E8"/>
    <w:rsid w:val="00246913"/>
    <w:rsid w:val="002471AF"/>
    <w:rsid w:val="00250A64"/>
    <w:rsid w:val="002511AB"/>
    <w:rsid w:val="00251D04"/>
    <w:rsid w:val="0025299D"/>
    <w:rsid w:val="002529AB"/>
    <w:rsid w:val="00253E92"/>
    <w:rsid w:val="00254E7E"/>
    <w:rsid w:val="00256244"/>
    <w:rsid w:val="002565CD"/>
    <w:rsid w:val="002602F3"/>
    <w:rsid w:val="002611E2"/>
    <w:rsid w:val="00261BC4"/>
    <w:rsid w:val="00262515"/>
    <w:rsid w:val="0026326D"/>
    <w:rsid w:val="00263B7E"/>
    <w:rsid w:val="002640C0"/>
    <w:rsid w:val="00264B02"/>
    <w:rsid w:val="00265343"/>
    <w:rsid w:val="0026555F"/>
    <w:rsid w:val="00265FEF"/>
    <w:rsid w:val="00266437"/>
    <w:rsid w:val="002665E8"/>
    <w:rsid w:val="00267A1F"/>
    <w:rsid w:val="00267C55"/>
    <w:rsid w:val="00271AE1"/>
    <w:rsid w:val="002755EE"/>
    <w:rsid w:val="0027604F"/>
    <w:rsid w:val="00276752"/>
    <w:rsid w:val="002772D0"/>
    <w:rsid w:val="00277622"/>
    <w:rsid w:val="00277F8F"/>
    <w:rsid w:val="0028333E"/>
    <w:rsid w:val="0028378E"/>
    <w:rsid w:val="00284A7E"/>
    <w:rsid w:val="00284E03"/>
    <w:rsid w:val="00285039"/>
    <w:rsid w:val="00291A92"/>
    <w:rsid w:val="00291C85"/>
    <w:rsid w:val="00292337"/>
    <w:rsid w:val="00292955"/>
    <w:rsid w:val="00292C03"/>
    <w:rsid w:val="00292CE4"/>
    <w:rsid w:val="0029312D"/>
    <w:rsid w:val="0029472D"/>
    <w:rsid w:val="00294922"/>
    <w:rsid w:val="002954E9"/>
    <w:rsid w:val="00295B88"/>
    <w:rsid w:val="002968A2"/>
    <w:rsid w:val="002976C3"/>
    <w:rsid w:val="00297DC9"/>
    <w:rsid w:val="00297E9D"/>
    <w:rsid w:val="002A2419"/>
    <w:rsid w:val="002A4B4E"/>
    <w:rsid w:val="002A5CC1"/>
    <w:rsid w:val="002A7CA0"/>
    <w:rsid w:val="002A7DF3"/>
    <w:rsid w:val="002A7E16"/>
    <w:rsid w:val="002B01D4"/>
    <w:rsid w:val="002B1742"/>
    <w:rsid w:val="002B2D03"/>
    <w:rsid w:val="002B4A45"/>
    <w:rsid w:val="002B4AB8"/>
    <w:rsid w:val="002B57F7"/>
    <w:rsid w:val="002B5BBC"/>
    <w:rsid w:val="002B61F0"/>
    <w:rsid w:val="002B7F9B"/>
    <w:rsid w:val="002C0B12"/>
    <w:rsid w:val="002C21AD"/>
    <w:rsid w:val="002C2834"/>
    <w:rsid w:val="002C3322"/>
    <w:rsid w:val="002C4D33"/>
    <w:rsid w:val="002C4FDE"/>
    <w:rsid w:val="002D07F0"/>
    <w:rsid w:val="002D087B"/>
    <w:rsid w:val="002D1DB4"/>
    <w:rsid w:val="002D38C2"/>
    <w:rsid w:val="002D39A1"/>
    <w:rsid w:val="002D3E06"/>
    <w:rsid w:val="002D428B"/>
    <w:rsid w:val="002D7660"/>
    <w:rsid w:val="002E0000"/>
    <w:rsid w:val="002E5ACD"/>
    <w:rsid w:val="002E5F6D"/>
    <w:rsid w:val="002E6E52"/>
    <w:rsid w:val="002E76EE"/>
    <w:rsid w:val="002E7EB9"/>
    <w:rsid w:val="002F31B2"/>
    <w:rsid w:val="002F3772"/>
    <w:rsid w:val="002F43C3"/>
    <w:rsid w:val="002F6EFC"/>
    <w:rsid w:val="002F6FBE"/>
    <w:rsid w:val="002F7E68"/>
    <w:rsid w:val="0030657F"/>
    <w:rsid w:val="003071A3"/>
    <w:rsid w:val="003074AA"/>
    <w:rsid w:val="00307FAF"/>
    <w:rsid w:val="00311AE1"/>
    <w:rsid w:val="003122CC"/>
    <w:rsid w:val="0031530F"/>
    <w:rsid w:val="00316955"/>
    <w:rsid w:val="00320D43"/>
    <w:rsid w:val="003229C2"/>
    <w:rsid w:val="00322E05"/>
    <w:rsid w:val="00323040"/>
    <w:rsid w:val="003237D8"/>
    <w:rsid w:val="003242AE"/>
    <w:rsid w:val="003253BD"/>
    <w:rsid w:val="00325992"/>
    <w:rsid w:val="003259B1"/>
    <w:rsid w:val="003302EE"/>
    <w:rsid w:val="00332FF0"/>
    <w:rsid w:val="00333BFB"/>
    <w:rsid w:val="00334C44"/>
    <w:rsid w:val="00335E2D"/>
    <w:rsid w:val="00337186"/>
    <w:rsid w:val="003371FB"/>
    <w:rsid w:val="003434D4"/>
    <w:rsid w:val="00343BC0"/>
    <w:rsid w:val="003459C0"/>
    <w:rsid w:val="00345CF6"/>
    <w:rsid w:val="00346258"/>
    <w:rsid w:val="00347A3C"/>
    <w:rsid w:val="00350991"/>
    <w:rsid w:val="003509DA"/>
    <w:rsid w:val="00351EC5"/>
    <w:rsid w:val="00352AAF"/>
    <w:rsid w:val="00353625"/>
    <w:rsid w:val="00353E8E"/>
    <w:rsid w:val="003552E0"/>
    <w:rsid w:val="003567E9"/>
    <w:rsid w:val="00357562"/>
    <w:rsid w:val="00357B2A"/>
    <w:rsid w:val="00357CCD"/>
    <w:rsid w:val="00362694"/>
    <w:rsid w:val="00362B87"/>
    <w:rsid w:val="00363A01"/>
    <w:rsid w:val="00363D8E"/>
    <w:rsid w:val="003660C2"/>
    <w:rsid w:val="00367398"/>
    <w:rsid w:val="00367569"/>
    <w:rsid w:val="00367B18"/>
    <w:rsid w:val="0037107B"/>
    <w:rsid w:val="0037286E"/>
    <w:rsid w:val="00372950"/>
    <w:rsid w:val="00373737"/>
    <w:rsid w:val="00373F38"/>
    <w:rsid w:val="003741CD"/>
    <w:rsid w:val="00375E95"/>
    <w:rsid w:val="00376667"/>
    <w:rsid w:val="00376921"/>
    <w:rsid w:val="0038067A"/>
    <w:rsid w:val="00380908"/>
    <w:rsid w:val="00380ACC"/>
    <w:rsid w:val="003817E6"/>
    <w:rsid w:val="0038274D"/>
    <w:rsid w:val="0038333B"/>
    <w:rsid w:val="00383B33"/>
    <w:rsid w:val="00384813"/>
    <w:rsid w:val="00385352"/>
    <w:rsid w:val="00385972"/>
    <w:rsid w:val="003870B4"/>
    <w:rsid w:val="00387614"/>
    <w:rsid w:val="0038773C"/>
    <w:rsid w:val="0039007C"/>
    <w:rsid w:val="003900C7"/>
    <w:rsid w:val="003919B1"/>
    <w:rsid w:val="00391CE9"/>
    <w:rsid w:val="003922AF"/>
    <w:rsid w:val="003930FD"/>
    <w:rsid w:val="00393C1D"/>
    <w:rsid w:val="00394FAD"/>
    <w:rsid w:val="00395D64"/>
    <w:rsid w:val="00397121"/>
    <w:rsid w:val="003A12A9"/>
    <w:rsid w:val="003A1BD2"/>
    <w:rsid w:val="003A20CF"/>
    <w:rsid w:val="003A2F48"/>
    <w:rsid w:val="003A4C01"/>
    <w:rsid w:val="003A5702"/>
    <w:rsid w:val="003B0400"/>
    <w:rsid w:val="003B11DB"/>
    <w:rsid w:val="003B23F1"/>
    <w:rsid w:val="003B46DE"/>
    <w:rsid w:val="003B675F"/>
    <w:rsid w:val="003B6D61"/>
    <w:rsid w:val="003C0054"/>
    <w:rsid w:val="003C0351"/>
    <w:rsid w:val="003C06A3"/>
    <w:rsid w:val="003C0706"/>
    <w:rsid w:val="003C3551"/>
    <w:rsid w:val="003C43BE"/>
    <w:rsid w:val="003C4945"/>
    <w:rsid w:val="003C54F3"/>
    <w:rsid w:val="003C6009"/>
    <w:rsid w:val="003C6996"/>
    <w:rsid w:val="003C6E00"/>
    <w:rsid w:val="003C6F91"/>
    <w:rsid w:val="003D182D"/>
    <w:rsid w:val="003D35D8"/>
    <w:rsid w:val="003D4A1E"/>
    <w:rsid w:val="003D4C2B"/>
    <w:rsid w:val="003D5680"/>
    <w:rsid w:val="003D7C8E"/>
    <w:rsid w:val="003D7F30"/>
    <w:rsid w:val="003E0053"/>
    <w:rsid w:val="003E1405"/>
    <w:rsid w:val="003E146B"/>
    <w:rsid w:val="003E3C67"/>
    <w:rsid w:val="003E4973"/>
    <w:rsid w:val="003E555E"/>
    <w:rsid w:val="003E5743"/>
    <w:rsid w:val="003E5AF8"/>
    <w:rsid w:val="003E66D0"/>
    <w:rsid w:val="003E7DEA"/>
    <w:rsid w:val="003F39EF"/>
    <w:rsid w:val="003F3E40"/>
    <w:rsid w:val="003F4F72"/>
    <w:rsid w:val="003F5335"/>
    <w:rsid w:val="003F5456"/>
    <w:rsid w:val="003F5FDD"/>
    <w:rsid w:val="003F7744"/>
    <w:rsid w:val="00401099"/>
    <w:rsid w:val="00402759"/>
    <w:rsid w:val="004028AE"/>
    <w:rsid w:val="00403211"/>
    <w:rsid w:val="00403C59"/>
    <w:rsid w:val="0040546C"/>
    <w:rsid w:val="00406317"/>
    <w:rsid w:val="004068B3"/>
    <w:rsid w:val="0040725D"/>
    <w:rsid w:val="0040770E"/>
    <w:rsid w:val="00411120"/>
    <w:rsid w:val="00411D28"/>
    <w:rsid w:val="00411FE6"/>
    <w:rsid w:val="00412CD9"/>
    <w:rsid w:val="00413DD4"/>
    <w:rsid w:val="0041495F"/>
    <w:rsid w:val="00415DF3"/>
    <w:rsid w:val="004178E3"/>
    <w:rsid w:val="00420F53"/>
    <w:rsid w:val="00421232"/>
    <w:rsid w:val="00423185"/>
    <w:rsid w:val="0042709D"/>
    <w:rsid w:val="00430E30"/>
    <w:rsid w:val="00430E9E"/>
    <w:rsid w:val="00432F3E"/>
    <w:rsid w:val="004330B0"/>
    <w:rsid w:val="00433422"/>
    <w:rsid w:val="00433AA3"/>
    <w:rsid w:val="004340D7"/>
    <w:rsid w:val="00434A7F"/>
    <w:rsid w:val="00434F0B"/>
    <w:rsid w:val="004356D6"/>
    <w:rsid w:val="004407AA"/>
    <w:rsid w:val="004420E6"/>
    <w:rsid w:val="00442338"/>
    <w:rsid w:val="00442D40"/>
    <w:rsid w:val="00443E2E"/>
    <w:rsid w:val="004442E1"/>
    <w:rsid w:val="004444A7"/>
    <w:rsid w:val="004456C6"/>
    <w:rsid w:val="00445D63"/>
    <w:rsid w:val="004468F6"/>
    <w:rsid w:val="00446E44"/>
    <w:rsid w:val="00447B2C"/>
    <w:rsid w:val="00450030"/>
    <w:rsid w:val="00451883"/>
    <w:rsid w:val="004527F7"/>
    <w:rsid w:val="00453626"/>
    <w:rsid w:val="00454201"/>
    <w:rsid w:val="00454518"/>
    <w:rsid w:val="00460F0E"/>
    <w:rsid w:val="004616AC"/>
    <w:rsid w:val="00463615"/>
    <w:rsid w:val="00463A0F"/>
    <w:rsid w:val="00463CB6"/>
    <w:rsid w:val="00464217"/>
    <w:rsid w:val="004642EB"/>
    <w:rsid w:val="00464695"/>
    <w:rsid w:val="00464A8C"/>
    <w:rsid w:val="004655F7"/>
    <w:rsid w:val="00471559"/>
    <w:rsid w:val="00472815"/>
    <w:rsid w:val="004737F0"/>
    <w:rsid w:val="00474AAD"/>
    <w:rsid w:val="004763F3"/>
    <w:rsid w:val="00476C35"/>
    <w:rsid w:val="004818D6"/>
    <w:rsid w:val="004819BB"/>
    <w:rsid w:val="00483959"/>
    <w:rsid w:val="00484565"/>
    <w:rsid w:val="004861AC"/>
    <w:rsid w:val="00487283"/>
    <w:rsid w:val="004875A9"/>
    <w:rsid w:val="00487F50"/>
    <w:rsid w:val="00491CF6"/>
    <w:rsid w:val="00492EB5"/>
    <w:rsid w:val="00496795"/>
    <w:rsid w:val="00496FC9"/>
    <w:rsid w:val="0049750D"/>
    <w:rsid w:val="004A2CD3"/>
    <w:rsid w:val="004A364C"/>
    <w:rsid w:val="004A473A"/>
    <w:rsid w:val="004B093F"/>
    <w:rsid w:val="004B0AF8"/>
    <w:rsid w:val="004B1957"/>
    <w:rsid w:val="004B49ED"/>
    <w:rsid w:val="004B64BE"/>
    <w:rsid w:val="004B7350"/>
    <w:rsid w:val="004C05DA"/>
    <w:rsid w:val="004C2080"/>
    <w:rsid w:val="004C2594"/>
    <w:rsid w:val="004C264E"/>
    <w:rsid w:val="004C3548"/>
    <w:rsid w:val="004C404E"/>
    <w:rsid w:val="004D200A"/>
    <w:rsid w:val="004D2A13"/>
    <w:rsid w:val="004E1BCC"/>
    <w:rsid w:val="004E244D"/>
    <w:rsid w:val="004E276C"/>
    <w:rsid w:val="004E4934"/>
    <w:rsid w:val="004E52E4"/>
    <w:rsid w:val="004E56B0"/>
    <w:rsid w:val="004E630A"/>
    <w:rsid w:val="004E7325"/>
    <w:rsid w:val="004E788F"/>
    <w:rsid w:val="004E7A09"/>
    <w:rsid w:val="004F0866"/>
    <w:rsid w:val="004F0F81"/>
    <w:rsid w:val="004F136F"/>
    <w:rsid w:val="004F13DE"/>
    <w:rsid w:val="004F1AC0"/>
    <w:rsid w:val="004F2BF1"/>
    <w:rsid w:val="004F4482"/>
    <w:rsid w:val="004F4D5B"/>
    <w:rsid w:val="004F523A"/>
    <w:rsid w:val="004F55A2"/>
    <w:rsid w:val="004F629D"/>
    <w:rsid w:val="004F6A72"/>
    <w:rsid w:val="004F73D6"/>
    <w:rsid w:val="00501094"/>
    <w:rsid w:val="00501220"/>
    <w:rsid w:val="0050229A"/>
    <w:rsid w:val="005054C0"/>
    <w:rsid w:val="00505FA6"/>
    <w:rsid w:val="005064AB"/>
    <w:rsid w:val="005064FF"/>
    <w:rsid w:val="005065E6"/>
    <w:rsid w:val="00507F7E"/>
    <w:rsid w:val="00510552"/>
    <w:rsid w:val="00511536"/>
    <w:rsid w:val="005117AF"/>
    <w:rsid w:val="005119FA"/>
    <w:rsid w:val="00512A1F"/>
    <w:rsid w:val="00513B97"/>
    <w:rsid w:val="00513BD8"/>
    <w:rsid w:val="00514A68"/>
    <w:rsid w:val="00514E21"/>
    <w:rsid w:val="005150B9"/>
    <w:rsid w:val="00517F9B"/>
    <w:rsid w:val="005230FE"/>
    <w:rsid w:val="00523539"/>
    <w:rsid w:val="00525236"/>
    <w:rsid w:val="005259D6"/>
    <w:rsid w:val="00526A2C"/>
    <w:rsid w:val="00530A24"/>
    <w:rsid w:val="00530D02"/>
    <w:rsid w:val="00533A2B"/>
    <w:rsid w:val="00537198"/>
    <w:rsid w:val="005379FA"/>
    <w:rsid w:val="00540C45"/>
    <w:rsid w:val="00543450"/>
    <w:rsid w:val="005439D0"/>
    <w:rsid w:val="00543DE5"/>
    <w:rsid w:val="00544A71"/>
    <w:rsid w:val="00545701"/>
    <w:rsid w:val="005468A0"/>
    <w:rsid w:val="00546D11"/>
    <w:rsid w:val="00550456"/>
    <w:rsid w:val="005513CA"/>
    <w:rsid w:val="00552D46"/>
    <w:rsid w:val="00552F56"/>
    <w:rsid w:val="005539D9"/>
    <w:rsid w:val="0055570A"/>
    <w:rsid w:val="00560302"/>
    <w:rsid w:val="005611F7"/>
    <w:rsid w:val="0056175B"/>
    <w:rsid w:val="00561E50"/>
    <w:rsid w:val="00562ECE"/>
    <w:rsid w:val="0056340A"/>
    <w:rsid w:val="005637D3"/>
    <w:rsid w:val="00564422"/>
    <w:rsid w:val="00564921"/>
    <w:rsid w:val="00566983"/>
    <w:rsid w:val="00566A13"/>
    <w:rsid w:val="00566FCB"/>
    <w:rsid w:val="00567915"/>
    <w:rsid w:val="00567E93"/>
    <w:rsid w:val="00571819"/>
    <w:rsid w:val="00571F0A"/>
    <w:rsid w:val="005732E4"/>
    <w:rsid w:val="00573A88"/>
    <w:rsid w:val="00575F58"/>
    <w:rsid w:val="005767D4"/>
    <w:rsid w:val="00577194"/>
    <w:rsid w:val="005817CB"/>
    <w:rsid w:val="005823CE"/>
    <w:rsid w:val="00582B7E"/>
    <w:rsid w:val="005830BF"/>
    <w:rsid w:val="00583D22"/>
    <w:rsid w:val="00584AD6"/>
    <w:rsid w:val="00584CFA"/>
    <w:rsid w:val="00586942"/>
    <w:rsid w:val="00592EEF"/>
    <w:rsid w:val="005943A8"/>
    <w:rsid w:val="00595A75"/>
    <w:rsid w:val="00596C66"/>
    <w:rsid w:val="005A0BB2"/>
    <w:rsid w:val="005A24F4"/>
    <w:rsid w:val="005A30E9"/>
    <w:rsid w:val="005A42D2"/>
    <w:rsid w:val="005A42F9"/>
    <w:rsid w:val="005A4C44"/>
    <w:rsid w:val="005A5795"/>
    <w:rsid w:val="005A6EC4"/>
    <w:rsid w:val="005A7101"/>
    <w:rsid w:val="005A773D"/>
    <w:rsid w:val="005B0FE6"/>
    <w:rsid w:val="005B26F7"/>
    <w:rsid w:val="005B36BB"/>
    <w:rsid w:val="005B45F4"/>
    <w:rsid w:val="005B4943"/>
    <w:rsid w:val="005B4B3B"/>
    <w:rsid w:val="005B4F1A"/>
    <w:rsid w:val="005B611C"/>
    <w:rsid w:val="005B6642"/>
    <w:rsid w:val="005B68E3"/>
    <w:rsid w:val="005B7061"/>
    <w:rsid w:val="005B7849"/>
    <w:rsid w:val="005B7E2F"/>
    <w:rsid w:val="005C053A"/>
    <w:rsid w:val="005C0D86"/>
    <w:rsid w:val="005C0DD1"/>
    <w:rsid w:val="005C22E3"/>
    <w:rsid w:val="005C2951"/>
    <w:rsid w:val="005C2B40"/>
    <w:rsid w:val="005C47D1"/>
    <w:rsid w:val="005C4B62"/>
    <w:rsid w:val="005C5830"/>
    <w:rsid w:val="005C6CDF"/>
    <w:rsid w:val="005C6CE3"/>
    <w:rsid w:val="005C6F7B"/>
    <w:rsid w:val="005C7199"/>
    <w:rsid w:val="005C7A6E"/>
    <w:rsid w:val="005C7FF5"/>
    <w:rsid w:val="005D0849"/>
    <w:rsid w:val="005D1DB6"/>
    <w:rsid w:val="005D2279"/>
    <w:rsid w:val="005D366C"/>
    <w:rsid w:val="005D3724"/>
    <w:rsid w:val="005D3E0D"/>
    <w:rsid w:val="005D57CF"/>
    <w:rsid w:val="005D640D"/>
    <w:rsid w:val="005D7EBB"/>
    <w:rsid w:val="005E0612"/>
    <w:rsid w:val="005E16FA"/>
    <w:rsid w:val="005E2B8C"/>
    <w:rsid w:val="005E3CB5"/>
    <w:rsid w:val="005E41E9"/>
    <w:rsid w:val="005E5EFE"/>
    <w:rsid w:val="005F070F"/>
    <w:rsid w:val="005F1266"/>
    <w:rsid w:val="005F189D"/>
    <w:rsid w:val="005F25FA"/>
    <w:rsid w:val="005F2D22"/>
    <w:rsid w:val="005F2D3B"/>
    <w:rsid w:val="005F4310"/>
    <w:rsid w:val="005F7D32"/>
    <w:rsid w:val="00600A58"/>
    <w:rsid w:val="0060111A"/>
    <w:rsid w:val="006025EC"/>
    <w:rsid w:val="00604D4F"/>
    <w:rsid w:val="006069A9"/>
    <w:rsid w:val="0061154D"/>
    <w:rsid w:val="00612446"/>
    <w:rsid w:val="00612503"/>
    <w:rsid w:val="00616F86"/>
    <w:rsid w:val="0061772F"/>
    <w:rsid w:val="00617847"/>
    <w:rsid w:val="006202F5"/>
    <w:rsid w:val="0062126E"/>
    <w:rsid w:val="00621CF1"/>
    <w:rsid w:val="00622FB5"/>
    <w:rsid w:val="0062405D"/>
    <w:rsid w:val="0062498D"/>
    <w:rsid w:val="00624BDA"/>
    <w:rsid w:val="00625ADE"/>
    <w:rsid w:val="00626836"/>
    <w:rsid w:val="00626EE3"/>
    <w:rsid w:val="00630A12"/>
    <w:rsid w:val="006312C1"/>
    <w:rsid w:val="006316A7"/>
    <w:rsid w:val="00631890"/>
    <w:rsid w:val="00632EBF"/>
    <w:rsid w:val="00634167"/>
    <w:rsid w:val="00635764"/>
    <w:rsid w:val="00636931"/>
    <w:rsid w:val="006404DB"/>
    <w:rsid w:val="00640619"/>
    <w:rsid w:val="00640C5F"/>
    <w:rsid w:val="00641E4A"/>
    <w:rsid w:val="0064287B"/>
    <w:rsid w:val="00642CCE"/>
    <w:rsid w:val="00643F43"/>
    <w:rsid w:val="00645A34"/>
    <w:rsid w:val="00646DC3"/>
    <w:rsid w:val="00646F5C"/>
    <w:rsid w:val="00650F62"/>
    <w:rsid w:val="006511A0"/>
    <w:rsid w:val="00651789"/>
    <w:rsid w:val="00652030"/>
    <w:rsid w:val="00653CBF"/>
    <w:rsid w:val="0065508C"/>
    <w:rsid w:val="0065524B"/>
    <w:rsid w:val="006560F0"/>
    <w:rsid w:val="006565E6"/>
    <w:rsid w:val="00656973"/>
    <w:rsid w:val="00656B94"/>
    <w:rsid w:val="006579D3"/>
    <w:rsid w:val="00657F78"/>
    <w:rsid w:val="0066166E"/>
    <w:rsid w:val="00662DE7"/>
    <w:rsid w:val="0066464D"/>
    <w:rsid w:val="006649A2"/>
    <w:rsid w:val="00665AF0"/>
    <w:rsid w:val="00666C36"/>
    <w:rsid w:val="00667694"/>
    <w:rsid w:val="00667EBC"/>
    <w:rsid w:val="00670E6D"/>
    <w:rsid w:val="00670F76"/>
    <w:rsid w:val="00670F8A"/>
    <w:rsid w:val="00671FD0"/>
    <w:rsid w:val="006720D2"/>
    <w:rsid w:val="0067232D"/>
    <w:rsid w:val="00672765"/>
    <w:rsid w:val="006727EF"/>
    <w:rsid w:val="00672BE4"/>
    <w:rsid w:val="006741CE"/>
    <w:rsid w:val="006809A7"/>
    <w:rsid w:val="00681E80"/>
    <w:rsid w:val="0068217F"/>
    <w:rsid w:val="00682916"/>
    <w:rsid w:val="00684418"/>
    <w:rsid w:val="00685EB7"/>
    <w:rsid w:val="00686005"/>
    <w:rsid w:val="006863A9"/>
    <w:rsid w:val="006867F7"/>
    <w:rsid w:val="006905D4"/>
    <w:rsid w:val="0069327B"/>
    <w:rsid w:val="00694A01"/>
    <w:rsid w:val="00694BDE"/>
    <w:rsid w:val="00695DB5"/>
    <w:rsid w:val="0069645A"/>
    <w:rsid w:val="00696D32"/>
    <w:rsid w:val="006A035A"/>
    <w:rsid w:val="006A0AE5"/>
    <w:rsid w:val="006A0F72"/>
    <w:rsid w:val="006A1D65"/>
    <w:rsid w:val="006A227D"/>
    <w:rsid w:val="006A39C2"/>
    <w:rsid w:val="006A3D87"/>
    <w:rsid w:val="006A5B6C"/>
    <w:rsid w:val="006A6280"/>
    <w:rsid w:val="006A6A65"/>
    <w:rsid w:val="006B0268"/>
    <w:rsid w:val="006B0D5F"/>
    <w:rsid w:val="006B25E3"/>
    <w:rsid w:val="006B28AC"/>
    <w:rsid w:val="006B293F"/>
    <w:rsid w:val="006B2A2F"/>
    <w:rsid w:val="006B30F2"/>
    <w:rsid w:val="006B3D2A"/>
    <w:rsid w:val="006B3D8E"/>
    <w:rsid w:val="006B43C4"/>
    <w:rsid w:val="006B5BED"/>
    <w:rsid w:val="006B5F09"/>
    <w:rsid w:val="006B6173"/>
    <w:rsid w:val="006B6183"/>
    <w:rsid w:val="006B6337"/>
    <w:rsid w:val="006B64CA"/>
    <w:rsid w:val="006B70B5"/>
    <w:rsid w:val="006C143B"/>
    <w:rsid w:val="006C18AB"/>
    <w:rsid w:val="006C1EF3"/>
    <w:rsid w:val="006C3D77"/>
    <w:rsid w:val="006C3F61"/>
    <w:rsid w:val="006C413C"/>
    <w:rsid w:val="006C45BE"/>
    <w:rsid w:val="006C5033"/>
    <w:rsid w:val="006C5F30"/>
    <w:rsid w:val="006C6143"/>
    <w:rsid w:val="006C669C"/>
    <w:rsid w:val="006C75DB"/>
    <w:rsid w:val="006C7DA4"/>
    <w:rsid w:val="006D1068"/>
    <w:rsid w:val="006D1F31"/>
    <w:rsid w:val="006D33B9"/>
    <w:rsid w:val="006D3593"/>
    <w:rsid w:val="006D477D"/>
    <w:rsid w:val="006D5800"/>
    <w:rsid w:val="006D63CF"/>
    <w:rsid w:val="006D64FF"/>
    <w:rsid w:val="006D6B7F"/>
    <w:rsid w:val="006D7FCA"/>
    <w:rsid w:val="006E03C6"/>
    <w:rsid w:val="006E0FA0"/>
    <w:rsid w:val="006E19D4"/>
    <w:rsid w:val="006E1F99"/>
    <w:rsid w:val="006E254C"/>
    <w:rsid w:val="006E2707"/>
    <w:rsid w:val="006E2D3F"/>
    <w:rsid w:val="006E3098"/>
    <w:rsid w:val="006E3BB5"/>
    <w:rsid w:val="006E4D51"/>
    <w:rsid w:val="006E665C"/>
    <w:rsid w:val="006E6C53"/>
    <w:rsid w:val="006F0492"/>
    <w:rsid w:val="006F0653"/>
    <w:rsid w:val="006F2796"/>
    <w:rsid w:val="006F39F4"/>
    <w:rsid w:val="006F600E"/>
    <w:rsid w:val="006F61D0"/>
    <w:rsid w:val="006F671F"/>
    <w:rsid w:val="006F6A8E"/>
    <w:rsid w:val="00700397"/>
    <w:rsid w:val="00701093"/>
    <w:rsid w:val="00702508"/>
    <w:rsid w:val="007037E0"/>
    <w:rsid w:val="00703D04"/>
    <w:rsid w:val="00704389"/>
    <w:rsid w:val="00705591"/>
    <w:rsid w:val="007062A3"/>
    <w:rsid w:val="007066EE"/>
    <w:rsid w:val="007067D3"/>
    <w:rsid w:val="00706E22"/>
    <w:rsid w:val="0070711F"/>
    <w:rsid w:val="00707719"/>
    <w:rsid w:val="007106B2"/>
    <w:rsid w:val="00713C28"/>
    <w:rsid w:val="00715707"/>
    <w:rsid w:val="007163B0"/>
    <w:rsid w:val="00716448"/>
    <w:rsid w:val="007167F5"/>
    <w:rsid w:val="00716E01"/>
    <w:rsid w:val="00717112"/>
    <w:rsid w:val="00717488"/>
    <w:rsid w:val="00717BD4"/>
    <w:rsid w:val="0072018F"/>
    <w:rsid w:val="00721519"/>
    <w:rsid w:val="00722DFA"/>
    <w:rsid w:val="00724404"/>
    <w:rsid w:val="007254B2"/>
    <w:rsid w:val="007272B9"/>
    <w:rsid w:val="0072746D"/>
    <w:rsid w:val="007300F0"/>
    <w:rsid w:val="00730D29"/>
    <w:rsid w:val="00733E18"/>
    <w:rsid w:val="00735D97"/>
    <w:rsid w:val="00736567"/>
    <w:rsid w:val="00736F0D"/>
    <w:rsid w:val="007400FC"/>
    <w:rsid w:val="00740588"/>
    <w:rsid w:val="007412B5"/>
    <w:rsid w:val="00741790"/>
    <w:rsid w:val="00741801"/>
    <w:rsid w:val="00743C0A"/>
    <w:rsid w:val="00745B79"/>
    <w:rsid w:val="00746B59"/>
    <w:rsid w:val="00747D37"/>
    <w:rsid w:val="007502D7"/>
    <w:rsid w:val="00750352"/>
    <w:rsid w:val="00750465"/>
    <w:rsid w:val="007504AA"/>
    <w:rsid w:val="00751BD3"/>
    <w:rsid w:val="00753377"/>
    <w:rsid w:val="00753A61"/>
    <w:rsid w:val="00754D7F"/>
    <w:rsid w:val="00755466"/>
    <w:rsid w:val="0075639A"/>
    <w:rsid w:val="007563A5"/>
    <w:rsid w:val="007576D0"/>
    <w:rsid w:val="00760CEC"/>
    <w:rsid w:val="00760FFE"/>
    <w:rsid w:val="0076115A"/>
    <w:rsid w:val="00762226"/>
    <w:rsid w:val="00763D51"/>
    <w:rsid w:val="00766519"/>
    <w:rsid w:val="0076656B"/>
    <w:rsid w:val="00767A08"/>
    <w:rsid w:val="00771302"/>
    <w:rsid w:val="007735BB"/>
    <w:rsid w:val="007737EC"/>
    <w:rsid w:val="00773FA1"/>
    <w:rsid w:val="007756B5"/>
    <w:rsid w:val="00775D0F"/>
    <w:rsid w:val="00777085"/>
    <w:rsid w:val="00780173"/>
    <w:rsid w:val="0078336B"/>
    <w:rsid w:val="00783CC5"/>
    <w:rsid w:val="00784C73"/>
    <w:rsid w:val="00785234"/>
    <w:rsid w:val="0078556B"/>
    <w:rsid w:val="00785A57"/>
    <w:rsid w:val="007867E3"/>
    <w:rsid w:val="00787774"/>
    <w:rsid w:val="00787B0B"/>
    <w:rsid w:val="007907F9"/>
    <w:rsid w:val="007925A2"/>
    <w:rsid w:val="0079359A"/>
    <w:rsid w:val="00793DBF"/>
    <w:rsid w:val="00793E3F"/>
    <w:rsid w:val="00794001"/>
    <w:rsid w:val="007948B9"/>
    <w:rsid w:val="00795541"/>
    <w:rsid w:val="007955EF"/>
    <w:rsid w:val="00795778"/>
    <w:rsid w:val="007A19B8"/>
    <w:rsid w:val="007A27F5"/>
    <w:rsid w:val="007A2F38"/>
    <w:rsid w:val="007A36E1"/>
    <w:rsid w:val="007A4132"/>
    <w:rsid w:val="007A4938"/>
    <w:rsid w:val="007A4F1A"/>
    <w:rsid w:val="007A55AC"/>
    <w:rsid w:val="007A77E6"/>
    <w:rsid w:val="007A7A69"/>
    <w:rsid w:val="007A7F41"/>
    <w:rsid w:val="007B0783"/>
    <w:rsid w:val="007B1001"/>
    <w:rsid w:val="007B25C7"/>
    <w:rsid w:val="007B2960"/>
    <w:rsid w:val="007B3CFD"/>
    <w:rsid w:val="007B4378"/>
    <w:rsid w:val="007B534B"/>
    <w:rsid w:val="007B5829"/>
    <w:rsid w:val="007B5A2C"/>
    <w:rsid w:val="007B6453"/>
    <w:rsid w:val="007B6E72"/>
    <w:rsid w:val="007B70C9"/>
    <w:rsid w:val="007C1762"/>
    <w:rsid w:val="007C232D"/>
    <w:rsid w:val="007C2492"/>
    <w:rsid w:val="007C404C"/>
    <w:rsid w:val="007C4A2B"/>
    <w:rsid w:val="007C541A"/>
    <w:rsid w:val="007C658F"/>
    <w:rsid w:val="007D02A7"/>
    <w:rsid w:val="007D0501"/>
    <w:rsid w:val="007D0BFC"/>
    <w:rsid w:val="007D1019"/>
    <w:rsid w:val="007D1900"/>
    <w:rsid w:val="007D2A02"/>
    <w:rsid w:val="007D2A5A"/>
    <w:rsid w:val="007D4314"/>
    <w:rsid w:val="007D5110"/>
    <w:rsid w:val="007D599F"/>
    <w:rsid w:val="007D5BAE"/>
    <w:rsid w:val="007D645B"/>
    <w:rsid w:val="007E0FB5"/>
    <w:rsid w:val="007E28A3"/>
    <w:rsid w:val="007E64A1"/>
    <w:rsid w:val="007E796F"/>
    <w:rsid w:val="007E7EB5"/>
    <w:rsid w:val="007F03B1"/>
    <w:rsid w:val="007F13B4"/>
    <w:rsid w:val="007F1AD9"/>
    <w:rsid w:val="007F2AA4"/>
    <w:rsid w:val="007F2F3F"/>
    <w:rsid w:val="007F4508"/>
    <w:rsid w:val="007F4B4A"/>
    <w:rsid w:val="00801860"/>
    <w:rsid w:val="00802918"/>
    <w:rsid w:val="0080360D"/>
    <w:rsid w:val="00803FF4"/>
    <w:rsid w:val="008043E4"/>
    <w:rsid w:val="00804B23"/>
    <w:rsid w:val="00804F31"/>
    <w:rsid w:val="00807FC1"/>
    <w:rsid w:val="008102D5"/>
    <w:rsid w:val="00810A4A"/>
    <w:rsid w:val="00811EB2"/>
    <w:rsid w:val="00811FD4"/>
    <w:rsid w:val="0081224B"/>
    <w:rsid w:val="008131C6"/>
    <w:rsid w:val="00813722"/>
    <w:rsid w:val="008150C0"/>
    <w:rsid w:val="0081550A"/>
    <w:rsid w:val="00815D82"/>
    <w:rsid w:val="00817D39"/>
    <w:rsid w:val="00820C1B"/>
    <w:rsid w:val="00820FED"/>
    <w:rsid w:val="00821C0D"/>
    <w:rsid w:val="008232C7"/>
    <w:rsid w:val="0082429D"/>
    <w:rsid w:val="00826994"/>
    <w:rsid w:val="0082790A"/>
    <w:rsid w:val="00827ACD"/>
    <w:rsid w:val="00830A10"/>
    <w:rsid w:val="00830C7C"/>
    <w:rsid w:val="00830EAA"/>
    <w:rsid w:val="0083148F"/>
    <w:rsid w:val="00832CF5"/>
    <w:rsid w:val="0083336F"/>
    <w:rsid w:val="00834122"/>
    <w:rsid w:val="0083515D"/>
    <w:rsid w:val="00836093"/>
    <w:rsid w:val="00836D63"/>
    <w:rsid w:val="00837183"/>
    <w:rsid w:val="00837703"/>
    <w:rsid w:val="008412E7"/>
    <w:rsid w:val="008442D6"/>
    <w:rsid w:val="00844AF9"/>
    <w:rsid w:val="00852600"/>
    <w:rsid w:val="00853179"/>
    <w:rsid w:val="00853307"/>
    <w:rsid w:val="008559D4"/>
    <w:rsid w:val="00856617"/>
    <w:rsid w:val="00856EEC"/>
    <w:rsid w:val="008613D5"/>
    <w:rsid w:val="008616AD"/>
    <w:rsid w:val="008617F5"/>
    <w:rsid w:val="008622AA"/>
    <w:rsid w:val="00864575"/>
    <w:rsid w:val="00865A57"/>
    <w:rsid w:val="00872186"/>
    <w:rsid w:val="00872AF8"/>
    <w:rsid w:val="00873CE4"/>
    <w:rsid w:val="00874850"/>
    <w:rsid w:val="0087581A"/>
    <w:rsid w:val="00876598"/>
    <w:rsid w:val="0087713D"/>
    <w:rsid w:val="0087781D"/>
    <w:rsid w:val="008779D8"/>
    <w:rsid w:val="00881308"/>
    <w:rsid w:val="00881EB0"/>
    <w:rsid w:val="008836E6"/>
    <w:rsid w:val="008839DA"/>
    <w:rsid w:val="00883D2B"/>
    <w:rsid w:val="00883E55"/>
    <w:rsid w:val="008861EE"/>
    <w:rsid w:val="00887D66"/>
    <w:rsid w:val="00890B38"/>
    <w:rsid w:val="0089308E"/>
    <w:rsid w:val="00893505"/>
    <w:rsid w:val="00894C5A"/>
    <w:rsid w:val="00896594"/>
    <w:rsid w:val="00897489"/>
    <w:rsid w:val="008A2167"/>
    <w:rsid w:val="008A3601"/>
    <w:rsid w:val="008A60F1"/>
    <w:rsid w:val="008A73B8"/>
    <w:rsid w:val="008A7544"/>
    <w:rsid w:val="008B0BDF"/>
    <w:rsid w:val="008B164A"/>
    <w:rsid w:val="008B3F36"/>
    <w:rsid w:val="008B4297"/>
    <w:rsid w:val="008B597F"/>
    <w:rsid w:val="008B775F"/>
    <w:rsid w:val="008C27C5"/>
    <w:rsid w:val="008C36CE"/>
    <w:rsid w:val="008C3AA4"/>
    <w:rsid w:val="008C3FCB"/>
    <w:rsid w:val="008C44C8"/>
    <w:rsid w:val="008C57A9"/>
    <w:rsid w:val="008C7D5A"/>
    <w:rsid w:val="008D0D8D"/>
    <w:rsid w:val="008D41C2"/>
    <w:rsid w:val="008D61AC"/>
    <w:rsid w:val="008D68FC"/>
    <w:rsid w:val="008D6AA2"/>
    <w:rsid w:val="008D6B50"/>
    <w:rsid w:val="008E0462"/>
    <w:rsid w:val="008E0736"/>
    <w:rsid w:val="008E11A5"/>
    <w:rsid w:val="008E1742"/>
    <w:rsid w:val="008E3373"/>
    <w:rsid w:val="008E368D"/>
    <w:rsid w:val="008E36B9"/>
    <w:rsid w:val="008E443A"/>
    <w:rsid w:val="008E5A0D"/>
    <w:rsid w:val="008F0676"/>
    <w:rsid w:val="008F0BA3"/>
    <w:rsid w:val="008F1931"/>
    <w:rsid w:val="008F1B00"/>
    <w:rsid w:val="008F4B5E"/>
    <w:rsid w:val="008F509C"/>
    <w:rsid w:val="008F5475"/>
    <w:rsid w:val="008F6EF9"/>
    <w:rsid w:val="008F6FE4"/>
    <w:rsid w:val="0090046E"/>
    <w:rsid w:val="009009F1"/>
    <w:rsid w:val="00900CD0"/>
    <w:rsid w:val="009010E9"/>
    <w:rsid w:val="0090195F"/>
    <w:rsid w:val="009021A1"/>
    <w:rsid w:val="009043D4"/>
    <w:rsid w:val="00904969"/>
    <w:rsid w:val="00904A2E"/>
    <w:rsid w:val="009061C6"/>
    <w:rsid w:val="00907B71"/>
    <w:rsid w:val="009140D9"/>
    <w:rsid w:val="00914A6F"/>
    <w:rsid w:val="00914D1D"/>
    <w:rsid w:val="00915E41"/>
    <w:rsid w:val="00916173"/>
    <w:rsid w:val="009166E4"/>
    <w:rsid w:val="00917B88"/>
    <w:rsid w:val="00921439"/>
    <w:rsid w:val="00921762"/>
    <w:rsid w:val="00923055"/>
    <w:rsid w:val="0092469E"/>
    <w:rsid w:val="00924C03"/>
    <w:rsid w:val="00925E97"/>
    <w:rsid w:val="009261C6"/>
    <w:rsid w:val="00930488"/>
    <w:rsid w:val="00930B36"/>
    <w:rsid w:val="00931A38"/>
    <w:rsid w:val="00931D61"/>
    <w:rsid w:val="00931DBC"/>
    <w:rsid w:val="0093217A"/>
    <w:rsid w:val="0093314A"/>
    <w:rsid w:val="00933308"/>
    <w:rsid w:val="00934D97"/>
    <w:rsid w:val="00940C8A"/>
    <w:rsid w:val="00944FA9"/>
    <w:rsid w:val="00945C72"/>
    <w:rsid w:val="00945CC5"/>
    <w:rsid w:val="00946C55"/>
    <w:rsid w:val="00947513"/>
    <w:rsid w:val="00947785"/>
    <w:rsid w:val="00950773"/>
    <w:rsid w:val="009530A6"/>
    <w:rsid w:val="00953584"/>
    <w:rsid w:val="00953A46"/>
    <w:rsid w:val="00954229"/>
    <w:rsid w:val="009542E9"/>
    <w:rsid w:val="00954A17"/>
    <w:rsid w:val="00954DA8"/>
    <w:rsid w:val="00955643"/>
    <w:rsid w:val="00956083"/>
    <w:rsid w:val="009567BB"/>
    <w:rsid w:val="0096062C"/>
    <w:rsid w:val="00961278"/>
    <w:rsid w:val="00961FB5"/>
    <w:rsid w:val="0096256E"/>
    <w:rsid w:val="00964282"/>
    <w:rsid w:val="00967ADA"/>
    <w:rsid w:val="009715D4"/>
    <w:rsid w:val="00972312"/>
    <w:rsid w:val="00972F05"/>
    <w:rsid w:val="00973BC4"/>
    <w:rsid w:val="009748B1"/>
    <w:rsid w:val="00974E5C"/>
    <w:rsid w:val="00975B58"/>
    <w:rsid w:val="00975FD4"/>
    <w:rsid w:val="00976CB8"/>
    <w:rsid w:val="00981380"/>
    <w:rsid w:val="00981773"/>
    <w:rsid w:val="00981996"/>
    <w:rsid w:val="00981F5A"/>
    <w:rsid w:val="00982189"/>
    <w:rsid w:val="00982A2F"/>
    <w:rsid w:val="0098369A"/>
    <w:rsid w:val="00983FCB"/>
    <w:rsid w:val="00992AF1"/>
    <w:rsid w:val="00994224"/>
    <w:rsid w:val="009949C5"/>
    <w:rsid w:val="009962C3"/>
    <w:rsid w:val="009A0D7B"/>
    <w:rsid w:val="009A1DB7"/>
    <w:rsid w:val="009A471C"/>
    <w:rsid w:val="009A508E"/>
    <w:rsid w:val="009A51FC"/>
    <w:rsid w:val="009A5BA2"/>
    <w:rsid w:val="009A6249"/>
    <w:rsid w:val="009A73A9"/>
    <w:rsid w:val="009A766F"/>
    <w:rsid w:val="009B1044"/>
    <w:rsid w:val="009B211F"/>
    <w:rsid w:val="009B2DE2"/>
    <w:rsid w:val="009B708B"/>
    <w:rsid w:val="009C0F5B"/>
    <w:rsid w:val="009C128B"/>
    <w:rsid w:val="009C33DA"/>
    <w:rsid w:val="009C3654"/>
    <w:rsid w:val="009C4770"/>
    <w:rsid w:val="009C497A"/>
    <w:rsid w:val="009C4EE5"/>
    <w:rsid w:val="009C58FC"/>
    <w:rsid w:val="009C61D8"/>
    <w:rsid w:val="009C62F7"/>
    <w:rsid w:val="009C74F0"/>
    <w:rsid w:val="009D0124"/>
    <w:rsid w:val="009D04A5"/>
    <w:rsid w:val="009D0558"/>
    <w:rsid w:val="009D12A8"/>
    <w:rsid w:val="009D137A"/>
    <w:rsid w:val="009D2DB6"/>
    <w:rsid w:val="009D30DD"/>
    <w:rsid w:val="009D3720"/>
    <w:rsid w:val="009D4045"/>
    <w:rsid w:val="009D6B2A"/>
    <w:rsid w:val="009E0224"/>
    <w:rsid w:val="009E0799"/>
    <w:rsid w:val="009E22F9"/>
    <w:rsid w:val="009E3AC9"/>
    <w:rsid w:val="009E4BFA"/>
    <w:rsid w:val="009E5953"/>
    <w:rsid w:val="009E5B72"/>
    <w:rsid w:val="009E647B"/>
    <w:rsid w:val="009E73A1"/>
    <w:rsid w:val="009E73F0"/>
    <w:rsid w:val="009E7AAE"/>
    <w:rsid w:val="009E7D2B"/>
    <w:rsid w:val="009F09EF"/>
    <w:rsid w:val="009F22A9"/>
    <w:rsid w:val="009F29FB"/>
    <w:rsid w:val="009F359A"/>
    <w:rsid w:val="009F497B"/>
    <w:rsid w:val="009F5B45"/>
    <w:rsid w:val="009F7575"/>
    <w:rsid w:val="00A009C0"/>
    <w:rsid w:val="00A00D6E"/>
    <w:rsid w:val="00A03C10"/>
    <w:rsid w:val="00A03DF3"/>
    <w:rsid w:val="00A063E7"/>
    <w:rsid w:val="00A0646C"/>
    <w:rsid w:val="00A0712C"/>
    <w:rsid w:val="00A07591"/>
    <w:rsid w:val="00A075E5"/>
    <w:rsid w:val="00A10BD8"/>
    <w:rsid w:val="00A10C61"/>
    <w:rsid w:val="00A13252"/>
    <w:rsid w:val="00A14230"/>
    <w:rsid w:val="00A144D4"/>
    <w:rsid w:val="00A14D93"/>
    <w:rsid w:val="00A14F50"/>
    <w:rsid w:val="00A152D1"/>
    <w:rsid w:val="00A177C8"/>
    <w:rsid w:val="00A17B14"/>
    <w:rsid w:val="00A2054F"/>
    <w:rsid w:val="00A21C9D"/>
    <w:rsid w:val="00A21D20"/>
    <w:rsid w:val="00A257F1"/>
    <w:rsid w:val="00A25F25"/>
    <w:rsid w:val="00A265BE"/>
    <w:rsid w:val="00A30628"/>
    <w:rsid w:val="00A323D6"/>
    <w:rsid w:val="00A3244F"/>
    <w:rsid w:val="00A325D9"/>
    <w:rsid w:val="00A33892"/>
    <w:rsid w:val="00A34367"/>
    <w:rsid w:val="00A3439F"/>
    <w:rsid w:val="00A3454A"/>
    <w:rsid w:val="00A352BA"/>
    <w:rsid w:val="00A36547"/>
    <w:rsid w:val="00A36CE0"/>
    <w:rsid w:val="00A3758A"/>
    <w:rsid w:val="00A40FAC"/>
    <w:rsid w:val="00A41522"/>
    <w:rsid w:val="00A4192E"/>
    <w:rsid w:val="00A421E5"/>
    <w:rsid w:val="00A4287D"/>
    <w:rsid w:val="00A43DEB"/>
    <w:rsid w:val="00A447C1"/>
    <w:rsid w:val="00A45AD8"/>
    <w:rsid w:val="00A47273"/>
    <w:rsid w:val="00A502BA"/>
    <w:rsid w:val="00A507E2"/>
    <w:rsid w:val="00A50DA7"/>
    <w:rsid w:val="00A518AA"/>
    <w:rsid w:val="00A51D57"/>
    <w:rsid w:val="00A53412"/>
    <w:rsid w:val="00A5377A"/>
    <w:rsid w:val="00A54C93"/>
    <w:rsid w:val="00A556E1"/>
    <w:rsid w:val="00A55781"/>
    <w:rsid w:val="00A5580B"/>
    <w:rsid w:val="00A55B48"/>
    <w:rsid w:val="00A57655"/>
    <w:rsid w:val="00A60454"/>
    <w:rsid w:val="00A60800"/>
    <w:rsid w:val="00A613CA"/>
    <w:rsid w:val="00A62CAC"/>
    <w:rsid w:val="00A62F15"/>
    <w:rsid w:val="00A6560A"/>
    <w:rsid w:val="00A66256"/>
    <w:rsid w:val="00A737BA"/>
    <w:rsid w:val="00A73BE6"/>
    <w:rsid w:val="00A809E9"/>
    <w:rsid w:val="00A819F7"/>
    <w:rsid w:val="00A82A4D"/>
    <w:rsid w:val="00A846EE"/>
    <w:rsid w:val="00A853E7"/>
    <w:rsid w:val="00A8589A"/>
    <w:rsid w:val="00A85DBD"/>
    <w:rsid w:val="00A86F83"/>
    <w:rsid w:val="00A879EA"/>
    <w:rsid w:val="00A9012D"/>
    <w:rsid w:val="00A9070F"/>
    <w:rsid w:val="00A90F3A"/>
    <w:rsid w:val="00A91AC7"/>
    <w:rsid w:val="00A91E6E"/>
    <w:rsid w:val="00A91ED9"/>
    <w:rsid w:val="00A920C5"/>
    <w:rsid w:val="00A920E8"/>
    <w:rsid w:val="00A93111"/>
    <w:rsid w:val="00A968BC"/>
    <w:rsid w:val="00A96EA7"/>
    <w:rsid w:val="00A97A06"/>
    <w:rsid w:val="00AA0072"/>
    <w:rsid w:val="00AA0797"/>
    <w:rsid w:val="00AA15B9"/>
    <w:rsid w:val="00AA176D"/>
    <w:rsid w:val="00AA1E9F"/>
    <w:rsid w:val="00AA2E06"/>
    <w:rsid w:val="00AA341A"/>
    <w:rsid w:val="00AA34CE"/>
    <w:rsid w:val="00AA613A"/>
    <w:rsid w:val="00AA6899"/>
    <w:rsid w:val="00AA6D4A"/>
    <w:rsid w:val="00AA7147"/>
    <w:rsid w:val="00AA7CE0"/>
    <w:rsid w:val="00AA7E6F"/>
    <w:rsid w:val="00AB116C"/>
    <w:rsid w:val="00AB378C"/>
    <w:rsid w:val="00AB3DF1"/>
    <w:rsid w:val="00AB49B0"/>
    <w:rsid w:val="00AB4EF2"/>
    <w:rsid w:val="00AB6188"/>
    <w:rsid w:val="00AB7238"/>
    <w:rsid w:val="00AC1182"/>
    <w:rsid w:val="00AC2534"/>
    <w:rsid w:val="00AC3138"/>
    <w:rsid w:val="00AC36E9"/>
    <w:rsid w:val="00AC3A1A"/>
    <w:rsid w:val="00AC50D0"/>
    <w:rsid w:val="00AC7C51"/>
    <w:rsid w:val="00AD0840"/>
    <w:rsid w:val="00AD3054"/>
    <w:rsid w:val="00AD36BD"/>
    <w:rsid w:val="00AD4924"/>
    <w:rsid w:val="00AD4BCC"/>
    <w:rsid w:val="00AD4DAA"/>
    <w:rsid w:val="00AD52FE"/>
    <w:rsid w:val="00AD5C2C"/>
    <w:rsid w:val="00AD6713"/>
    <w:rsid w:val="00AD7082"/>
    <w:rsid w:val="00AE1CCC"/>
    <w:rsid w:val="00AE2771"/>
    <w:rsid w:val="00AE4A63"/>
    <w:rsid w:val="00AE53E7"/>
    <w:rsid w:val="00AE6ADC"/>
    <w:rsid w:val="00AE7ACB"/>
    <w:rsid w:val="00AF054E"/>
    <w:rsid w:val="00AF3DED"/>
    <w:rsid w:val="00AF3E25"/>
    <w:rsid w:val="00AF4ABF"/>
    <w:rsid w:val="00AF76C3"/>
    <w:rsid w:val="00B0006C"/>
    <w:rsid w:val="00B00ABB"/>
    <w:rsid w:val="00B00BAE"/>
    <w:rsid w:val="00B016F1"/>
    <w:rsid w:val="00B01E89"/>
    <w:rsid w:val="00B021BC"/>
    <w:rsid w:val="00B026DA"/>
    <w:rsid w:val="00B029E6"/>
    <w:rsid w:val="00B02EA5"/>
    <w:rsid w:val="00B053A0"/>
    <w:rsid w:val="00B0569C"/>
    <w:rsid w:val="00B06361"/>
    <w:rsid w:val="00B06792"/>
    <w:rsid w:val="00B075C1"/>
    <w:rsid w:val="00B076D1"/>
    <w:rsid w:val="00B11C64"/>
    <w:rsid w:val="00B125E3"/>
    <w:rsid w:val="00B1270E"/>
    <w:rsid w:val="00B139F3"/>
    <w:rsid w:val="00B13B8E"/>
    <w:rsid w:val="00B14417"/>
    <w:rsid w:val="00B146D0"/>
    <w:rsid w:val="00B14870"/>
    <w:rsid w:val="00B15186"/>
    <w:rsid w:val="00B16BD7"/>
    <w:rsid w:val="00B17B84"/>
    <w:rsid w:val="00B17BF1"/>
    <w:rsid w:val="00B17D81"/>
    <w:rsid w:val="00B20403"/>
    <w:rsid w:val="00B20465"/>
    <w:rsid w:val="00B213D3"/>
    <w:rsid w:val="00B21A53"/>
    <w:rsid w:val="00B24E60"/>
    <w:rsid w:val="00B25D65"/>
    <w:rsid w:val="00B25F1B"/>
    <w:rsid w:val="00B303AD"/>
    <w:rsid w:val="00B306ED"/>
    <w:rsid w:val="00B30BDD"/>
    <w:rsid w:val="00B3155E"/>
    <w:rsid w:val="00B316FF"/>
    <w:rsid w:val="00B32FD4"/>
    <w:rsid w:val="00B33ED1"/>
    <w:rsid w:val="00B348CF"/>
    <w:rsid w:val="00B35134"/>
    <w:rsid w:val="00B35427"/>
    <w:rsid w:val="00B35709"/>
    <w:rsid w:val="00B37048"/>
    <w:rsid w:val="00B413D3"/>
    <w:rsid w:val="00B424AA"/>
    <w:rsid w:val="00B42807"/>
    <w:rsid w:val="00B42918"/>
    <w:rsid w:val="00B4365C"/>
    <w:rsid w:val="00B43E0B"/>
    <w:rsid w:val="00B4497E"/>
    <w:rsid w:val="00B44B8F"/>
    <w:rsid w:val="00B4552E"/>
    <w:rsid w:val="00B45E89"/>
    <w:rsid w:val="00B4680A"/>
    <w:rsid w:val="00B46ED1"/>
    <w:rsid w:val="00B46F3A"/>
    <w:rsid w:val="00B505B3"/>
    <w:rsid w:val="00B50790"/>
    <w:rsid w:val="00B51419"/>
    <w:rsid w:val="00B51D11"/>
    <w:rsid w:val="00B521DA"/>
    <w:rsid w:val="00B52B60"/>
    <w:rsid w:val="00B52D4E"/>
    <w:rsid w:val="00B54998"/>
    <w:rsid w:val="00B55CC5"/>
    <w:rsid w:val="00B56881"/>
    <w:rsid w:val="00B56899"/>
    <w:rsid w:val="00B57C74"/>
    <w:rsid w:val="00B604A1"/>
    <w:rsid w:val="00B610E0"/>
    <w:rsid w:val="00B61898"/>
    <w:rsid w:val="00B6497F"/>
    <w:rsid w:val="00B64D6B"/>
    <w:rsid w:val="00B6512D"/>
    <w:rsid w:val="00B65564"/>
    <w:rsid w:val="00B66851"/>
    <w:rsid w:val="00B67F95"/>
    <w:rsid w:val="00B7063E"/>
    <w:rsid w:val="00B720F1"/>
    <w:rsid w:val="00B80091"/>
    <w:rsid w:val="00B808D8"/>
    <w:rsid w:val="00B821ED"/>
    <w:rsid w:val="00B83900"/>
    <w:rsid w:val="00B852B1"/>
    <w:rsid w:val="00B85C86"/>
    <w:rsid w:val="00B92A4F"/>
    <w:rsid w:val="00B92FC8"/>
    <w:rsid w:val="00B95847"/>
    <w:rsid w:val="00B96470"/>
    <w:rsid w:val="00B97EE4"/>
    <w:rsid w:val="00BA00DF"/>
    <w:rsid w:val="00BA09F9"/>
    <w:rsid w:val="00BA1591"/>
    <w:rsid w:val="00BA2FC7"/>
    <w:rsid w:val="00BA3175"/>
    <w:rsid w:val="00BA3826"/>
    <w:rsid w:val="00BA3B31"/>
    <w:rsid w:val="00BA44CF"/>
    <w:rsid w:val="00BA772B"/>
    <w:rsid w:val="00BB037F"/>
    <w:rsid w:val="00BB089B"/>
    <w:rsid w:val="00BB12A2"/>
    <w:rsid w:val="00BB16A8"/>
    <w:rsid w:val="00BB2F24"/>
    <w:rsid w:val="00BB3C30"/>
    <w:rsid w:val="00BB3FA7"/>
    <w:rsid w:val="00BB4552"/>
    <w:rsid w:val="00BB4BA4"/>
    <w:rsid w:val="00BB51C1"/>
    <w:rsid w:val="00BB597A"/>
    <w:rsid w:val="00BB6901"/>
    <w:rsid w:val="00BB7EE2"/>
    <w:rsid w:val="00BC0CA6"/>
    <w:rsid w:val="00BC146B"/>
    <w:rsid w:val="00BC1505"/>
    <w:rsid w:val="00BC1E20"/>
    <w:rsid w:val="00BC1E8A"/>
    <w:rsid w:val="00BC3558"/>
    <w:rsid w:val="00BC5452"/>
    <w:rsid w:val="00BC60EB"/>
    <w:rsid w:val="00BC6B05"/>
    <w:rsid w:val="00BC6D7B"/>
    <w:rsid w:val="00BC7639"/>
    <w:rsid w:val="00BC7B7F"/>
    <w:rsid w:val="00BD1BB3"/>
    <w:rsid w:val="00BD2417"/>
    <w:rsid w:val="00BD2DB9"/>
    <w:rsid w:val="00BD2F18"/>
    <w:rsid w:val="00BD4BAD"/>
    <w:rsid w:val="00BD7B4E"/>
    <w:rsid w:val="00BD7C71"/>
    <w:rsid w:val="00BE12E7"/>
    <w:rsid w:val="00BE17BD"/>
    <w:rsid w:val="00BE1849"/>
    <w:rsid w:val="00BE1A83"/>
    <w:rsid w:val="00BE21C9"/>
    <w:rsid w:val="00BE22B8"/>
    <w:rsid w:val="00BE2A6D"/>
    <w:rsid w:val="00BE2F38"/>
    <w:rsid w:val="00BE333F"/>
    <w:rsid w:val="00BE3ED3"/>
    <w:rsid w:val="00BE4111"/>
    <w:rsid w:val="00BE4902"/>
    <w:rsid w:val="00BE65EA"/>
    <w:rsid w:val="00BE79F7"/>
    <w:rsid w:val="00BF0B26"/>
    <w:rsid w:val="00BF1481"/>
    <w:rsid w:val="00BF2403"/>
    <w:rsid w:val="00BF2542"/>
    <w:rsid w:val="00BF27A1"/>
    <w:rsid w:val="00BF42CB"/>
    <w:rsid w:val="00BF5997"/>
    <w:rsid w:val="00C0214B"/>
    <w:rsid w:val="00C0313F"/>
    <w:rsid w:val="00C05FBC"/>
    <w:rsid w:val="00C0659A"/>
    <w:rsid w:val="00C06C22"/>
    <w:rsid w:val="00C10465"/>
    <w:rsid w:val="00C120E1"/>
    <w:rsid w:val="00C13791"/>
    <w:rsid w:val="00C13962"/>
    <w:rsid w:val="00C13987"/>
    <w:rsid w:val="00C13EBA"/>
    <w:rsid w:val="00C14962"/>
    <w:rsid w:val="00C16257"/>
    <w:rsid w:val="00C1715B"/>
    <w:rsid w:val="00C1728C"/>
    <w:rsid w:val="00C20322"/>
    <w:rsid w:val="00C20DDE"/>
    <w:rsid w:val="00C2226C"/>
    <w:rsid w:val="00C262D8"/>
    <w:rsid w:val="00C26D1A"/>
    <w:rsid w:val="00C273DC"/>
    <w:rsid w:val="00C27910"/>
    <w:rsid w:val="00C27E00"/>
    <w:rsid w:val="00C27E1D"/>
    <w:rsid w:val="00C30E34"/>
    <w:rsid w:val="00C340C5"/>
    <w:rsid w:val="00C36842"/>
    <w:rsid w:val="00C43669"/>
    <w:rsid w:val="00C443DE"/>
    <w:rsid w:val="00C44901"/>
    <w:rsid w:val="00C44A3C"/>
    <w:rsid w:val="00C456F9"/>
    <w:rsid w:val="00C46BCF"/>
    <w:rsid w:val="00C5297B"/>
    <w:rsid w:val="00C53526"/>
    <w:rsid w:val="00C5405C"/>
    <w:rsid w:val="00C55131"/>
    <w:rsid w:val="00C55425"/>
    <w:rsid w:val="00C562AA"/>
    <w:rsid w:val="00C564B0"/>
    <w:rsid w:val="00C61B9B"/>
    <w:rsid w:val="00C6218D"/>
    <w:rsid w:val="00C62792"/>
    <w:rsid w:val="00C643CC"/>
    <w:rsid w:val="00C64FEF"/>
    <w:rsid w:val="00C652A0"/>
    <w:rsid w:val="00C66D49"/>
    <w:rsid w:val="00C701AA"/>
    <w:rsid w:val="00C70CF3"/>
    <w:rsid w:val="00C72966"/>
    <w:rsid w:val="00C732C5"/>
    <w:rsid w:val="00C73381"/>
    <w:rsid w:val="00C73B9E"/>
    <w:rsid w:val="00C75BBB"/>
    <w:rsid w:val="00C76DA9"/>
    <w:rsid w:val="00C801E3"/>
    <w:rsid w:val="00C820A8"/>
    <w:rsid w:val="00C82332"/>
    <w:rsid w:val="00C8347A"/>
    <w:rsid w:val="00C84D48"/>
    <w:rsid w:val="00C87445"/>
    <w:rsid w:val="00C875E3"/>
    <w:rsid w:val="00C9032B"/>
    <w:rsid w:val="00C90AEB"/>
    <w:rsid w:val="00C90C52"/>
    <w:rsid w:val="00C90DAC"/>
    <w:rsid w:val="00C921AA"/>
    <w:rsid w:val="00C921CD"/>
    <w:rsid w:val="00C93345"/>
    <w:rsid w:val="00C9360A"/>
    <w:rsid w:val="00C95379"/>
    <w:rsid w:val="00C953CD"/>
    <w:rsid w:val="00C957C6"/>
    <w:rsid w:val="00C9592D"/>
    <w:rsid w:val="00C969B9"/>
    <w:rsid w:val="00C96B8E"/>
    <w:rsid w:val="00C97901"/>
    <w:rsid w:val="00CA00F4"/>
    <w:rsid w:val="00CA02F8"/>
    <w:rsid w:val="00CA1FE7"/>
    <w:rsid w:val="00CA299D"/>
    <w:rsid w:val="00CA3A2A"/>
    <w:rsid w:val="00CA53E6"/>
    <w:rsid w:val="00CA54D8"/>
    <w:rsid w:val="00CA5CE4"/>
    <w:rsid w:val="00CB0C74"/>
    <w:rsid w:val="00CB0C7D"/>
    <w:rsid w:val="00CB1C4D"/>
    <w:rsid w:val="00CB3114"/>
    <w:rsid w:val="00CB372E"/>
    <w:rsid w:val="00CB3E3C"/>
    <w:rsid w:val="00CB46AC"/>
    <w:rsid w:val="00CB514F"/>
    <w:rsid w:val="00CB7314"/>
    <w:rsid w:val="00CB7F09"/>
    <w:rsid w:val="00CC0FBF"/>
    <w:rsid w:val="00CC21AC"/>
    <w:rsid w:val="00CC25B3"/>
    <w:rsid w:val="00CC408D"/>
    <w:rsid w:val="00CC5177"/>
    <w:rsid w:val="00CC5C19"/>
    <w:rsid w:val="00CC69AE"/>
    <w:rsid w:val="00CC7D09"/>
    <w:rsid w:val="00CD0D24"/>
    <w:rsid w:val="00CD16A3"/>
    <w:rsid w:val="00CD214B"/>
    <w:rsid w:val="00CD253C"/>
    <w:rsid w:val="00CD2F1A"/>
    <w:rsid w:val="00CD3601"/>
    <w:rsid w:val="00CD3F6F"/>
    <w:rsid w:val="00CD58D9"/>
    <w:rsid w:val="00CD6252"/>
    <w:rsid w:val="00CD63AF"/>
    <w:rsid w:val="00CD6FE3"/>
    <w:rsid w:val="00CD7B0C"/>
    <w:rsid w:val="00CE00FA"/>
    <w:rsid w:val="00CE10BC"/>
    <w:rsid w:val="00CE2AC5"/>
    <w:rsid w:val="00CE2EB2"/>
    <w:rsid w:val="00CE3CA9"/>
    <w:rsid w:val="00CE6635"/>
    <w:rsid w:val="00CE7940"/>
    <w:rsid w:val="00CF1510"/>
    <w:rsid w:val="00CF3981"/>
    <w:rsid w:val="00CF49C4"/>
    <w:rsid w:val="00CF5340"/>
    <w:rsid w:val="00CF571F"/>
    <w:rsid w:val="00CF60FE"/>
    <w:rsid w:val="00CF7224"/>
    <w:rsid w:val="00CF7385"/>
    <w:rsid w:val="00CF73F2"/>
    <w:rsid w:val="00CF76CB"/>
    <w:rsid w:val="00CF7702"/>
    <w:rsid w:val="00CF7F5E"/>
    <w:rsid w:val="00D00B04"/>
    <w:rsid w:val="00D0167C"/>
    <w:rsid w:val="00D01B61"/>
    <w:rsid w:val="00D026B3"/>
    <w:rsid w:val="00D02DD2"/>
    <w:rsid w:val="00D03717"/>
    <w:rsid w:val="00D03762"/>
    <w:rsid w:val="00D037BB"/>
    <w:rsid w:val="00D03DB9"/>
    <w:rsid w:val="00D05AB5"/>
    <w:rsid w:val="00D06381"/>
    <w:rsid w:val="00D06492"/>
    <w:rsid w:val="00D06E6E"/>
    <w:rsid w:val="00D11584"/>
    <w:rsid w:val="00D137DF"/>
    <w:rsid w:val="00D1410D"/>
    <w:rsid w:val="00D14D42"/>
    <w:rsid w:val="00D14D94"/>
    <w:rsid w:val="00D14F4D"/>
    <w:rsid w:val="00D15022"/>
    <w:rsid w:val="00D151FA"/>
    <w:rsid w:val="00D15A9D"/>
    <w:rsid w:val="00D15AF9"/>
    <w:rsid w:val="00D15B0F"/>
    <w:rsid w:val="00D16737"/>
    <w:rsid w:val="00D16A39"/>
    <w:rsid w:val="00D17AF1"/>
    <w:rsid w:val="00D2026F"/>
    <w:rsid w:val="00D2083C"/>
    <w:rsid w:val="00D21789"/>
    <w:rsid w:val="00D22000"/>
    <w:rsid w:val="00D22328"/>
    <w:rsid w:val="00D229BF"/>
    <w:rsid w:val="00D23DBC"/>
    <w:rsid w:val="00D2468A"/>
    <w:rsid w:val="00D2617A"/>
    <w:rsid w:val="00D274BA"/>
    <w:rsid w:val="00D27AAF"/>
    <w:rsid w:val="00D27F27"/>
    <w:rsid w:val="00D30B08"/>
    <w:rsid w:val="00D315D8"/>
    <w:rsid w:val="00D32BBB"/>
    <w:rsid w:val="00D32CC0"/>
    <w:rsid w:val="00D3344A"/>
    <w:rsid w:val="00D34D85"/>
    <w:rsid w:val="00D35283"/>
    <w:rsid w:val="00D36E7F"/>
    <w:rsid w:val="00D40B5C"/>
    <w:rsid w:val="00D4173E"/>
    <w:rsid w:val="00D41D3E"/>
    <w:rsid w:val="00D421F5"/>
    <w:rsid w:val="00D42D45"/>
    <w:rsid w:val="00D434C0"/>
    <w:rsid w:val="00D435E5"/>
    <w:rsid w:val="00D4517D"/>
    <w:rsid w:val="00D45529"/>
    <w:rsid w:val="00D45AC1"/>
    <w:rsid w:val="00D45B91"/>
    <w:rsid w:val="00D4705E"/>
    <w:rsid w:val="00D471EF"/>
    <w:rsid w:val="00D4767A"/>
    <w:rsid w:val="00D47CF9"/>
    <w:rsid w:val="00D47DF4"/>
    <w:rsid w:val="00D52047"/>
    <w:rsid w:val="00D54855"/>
    <w:rsid w:val="00D5716B"/>
    <w:rsid w:val="00D57437"/>
    <w:rsid w:val="00D613C5"/>
    <w:rsid w:val="00D627EA"/>
    <w:rsid w:val="00D6366E"/>
    <w:rsid w:val="00D64D92"/>
    <w:rsid w:val="00D652C6"/>
    <w:rsid w:val="00D674B2"/>
    <w:rsid w:val="00D7035B"/>
    <w:rsid w:val="00D70BD5"/>
    <w:rsid w:val="00D70D76"/>
    <w:rsid w:val="00D73D0B"/>
    <w:rsid w:val="00D74B3C"/>
    <w:rsid w:val="00D75CAA"/>
    <w:rsid w:val="00D77E21"/>
    <w:rsid w:val="00D81055"/>
    <w:rsid w:val="00D828F6"/>
    <w:rsid w:val="00D84523"/>
    <w:rsid w:val="00D8501C"/>
    <w:rsid w:val="00D85A35"/>
    <w:rsid w:val="00D866C5"/>
    <w:rsid w:val="00D86B55"/>
    <w:rsid w:val="00D87688"/>
    <w:rsid w:val="00D87D82"/>
    <w:rsid w:val="00D87FB9"/>
    <w:rsid w:val="00D9102F"/>
    <w:rsid w:val="00D91679"/>
    <w:rsid w:val="00D92E15"/>
    <w:rsid w:val="00D93B49"/>
    <w:rsid w:val="00D940AF"/>
    <w:rsid w:val="00D941B4"/>
    <w:rsid w:val="00D963DB"/>
    <w:rsid w:val="00D97380"/>
    <w:rsid w:val="00D974D4"/>
    <w:rsid w:val="00D97CA5"/>
    <w:rsid w:val="00DA08C6"/>
    <w:rsid w:val="00DA178B"/>
    <w:rsid w:val="00DA23F6"/>
    <w:rsid w:val="00DA2691"/>
    <w:rsid w:val="00DA2D4D"/>
    <w:rsid w:val="00DA34CD"/>
    <w:rsid w:val="00DA39FA"/>
    <w:rsid w:val="00DA43E6"/>
    <w:rsid w:val="00DA4F1B"/>
    <w:rsid w:val="00DA5799"/>
    <w:rsid w:val="00DA6739"/>
    <w:rsid w:val="00DA76DA"/>
    <w:rsid w:val="00DA7CBF"/>
    <w:rsid w:val="00DB0C88"/>
    <w:rsid w:val="00DB0E35"/>
    <w:rsid w:val="00DB145A"/>
    <w:rsid w:val="00DB174D"/>
    <w:rsid w:val="00DB2215"/>
    <w:rsid w:val="00DB2679"/>
    <w:rsid w:val="00DB4B46"/>
    <w:rsid w:val="00DB50C6"/>
    <w:rsid w:val="00DB7DB4"/>
    <w:rsid w:val="00DC0A09"/>
    <w:rsid w:val="00DC28D3"/>
    <w:rsid w:val="00DC342C"/>
    <w:rsid w:val="00DC397F"/>
    <w:rsid w:val="00DC4587"/>
    <w:rsid w:val="00DC6656"/>
    <w:rsid w:val="00DC68FC"/>
    <w:rsid w:val="00DD0A26"/>
    <w:rsid w:val="00DD1241"/>
    <w:rsid w:val="00DD41CF"/>
    <w:rsid w:val="00DD5656"/>
    <w:rsid w:val="00DD5B58"/>
    <w:rsid w:val="00DD5E3A"/>
    <w:rsid w:val="00DD7CD4"/>
    <w:rsid w:val="00DE1713"/>
    <w:rsid w:val="00DE1FF1"/>
    <w:rsid w:val="00DE3CEE"/>
    <w:rsid w:val="00DE4A45"/>
    <w:rsid w:val="00DE4C67"/>
    <w:rsid w:val="00DE51E2"/>
    <w:rsid w:val="00DE5659"/>
    <w:rsid w:val="00DE5E2C"/>
    <w:rsid w:val="00DE5FF1"/>
    <w:rsid w:val="00DE6647"/>
    <w:rsid w:val="00DE6B39"/>
    <w:rsid w:val="00DE72AE"/>
    <w:rsid w:val="00DE73DB"/>
    <w:rsid w:val="00DF0A24"/>
    <w:rsid w:val="00DF1867"/>
    <w:rsid w:val="00DF1948"/>
    <w:rsid w:val="00DF1FD0"/>
    <w:rsid w:val="00DF3072"/>
    <w:rsid w:val="00DF5735"/>
    <w:rsid w:val="00DF5EC4"/>
    <w:rsid w:val="00DF6149"/>
    <w:rsid w:val="00E0039B"/>
    <w:rsid w:val="00E007D2"/>
    <w:rsid w:val="00E00889"/>
    <w:rsid w:val="00E00E50"/>
    <w:rsid w:val="00E01508"/>
    <w:rsid w:val="00E02858"/>
    <w:rsid w:val="00E028FC"/>
    <w:rsid w:val="00E02F05"/>
    <w:rsid w:val="00E02FF2"/>
    <w:rsid w:val="00E04558"/>
    <w:rsid w:val="00E04EA3"/>
    <w:rsid w:val="00E05151"/>
    <w:rsid w:val="00E06F75"/>
    <w:rsid w:val="00E070AB"/>
    <w:rsid w:val="00E0741C"/>
    <w:rsid w:val="00E103F6"/>
    <w:rsid w:val="00E11606"/>
    <w:rsid w:val="00E125D1"/>
    <w:rsid w:val="00E148CA"/>
    <w:rsid w:val="00E15686"/>
    <w:rsid w:val="00E177E6"/>
    <w:rsid w:val="00E17E24"/>
    <w:rsid w:val="00E2102A"/>
    <w:rsid w:val="00E21045"/>
    <w:rsid w:val="00E222A1"/>
    <w:rsid w:val="00E23F78"/>
    <w:rsid w:val="00E25AEE"/>
    <w:rsid w:val="00E274F9"/>
    <w:rsid w:val="00E3035C"/>
    <w:rsid w:val="00E30DA1"/>
    <w:rsid w:val="00E34384"/>
    <w:rsid w:val="00E35BB8"/>
    <w:rsid w:val="00E366C0"/>
    <w:rsid w:val="00E37798"/>
    <w:rsid w:val="00E379D3"/>
    <w:rsid w:val="00E401B0"/>
    <w:rsid w:val="00E407B7"/>
    <w:rsid w:val="00E40C42"/>
    <w:rsid w:val="00E40C44"/>
    <w:rsid w:val="00E42444"/>
    <w:rsid w:val="00E432D6"/>
    <w:rsid w:val="00E43889"/>
    <w:rsid w:val="00E449EC"/>
    <w:rsid w:val="00E45D6E"/>
    <w:rsid w:val="00E479F5"/>
    <w:rsid w:val="00E508E4"/>
    <w:rsid w:val="00E50A0A"/>
    <w:rsid w:val="00E50F53"/>
    <w:rsid w:val="00E510B3"/>
    <w:rsid w:val="00E51681"/>
    <w:rsid w:val="00E527BE"/>
    <w:rsid w:val="00E52EAB"/>
    <w:rsid w:val="00E5300D"/>
    <w:rsid w:val="00E53913"/>
    <w:rsid w:val="00E5476E"/>
    <w:rsid w:val="00E55294"/>
    <w:rsid w:val="00E60894"/>
    <w:rsid w:val="00E626CA"/>
    <w:rsid w:val="00E62F57"/>
    <w:rsid w:val="00E63987"/>
    <w:rsid w:val="00E66FFA"/>
    <w:rsid w:val="00E70C74"/>
    <w:rsid w:val="00E71AF8"/>
    <w:rsid w:val="00E71CE4"/>
    <w:rsid w:val="00E72F3A"/>
    <w:rsid w:val="00E733C1"/>
    <w:rsid w:val="00E736F7"/>
    <w:rsid w:val="00E73972"/>
    <w:rsid w:val="00E73B82"/>
    <w:rsid w:val="00E768FA"/>
    <w:rsid w:val="00E77917"/>
    <w:rsid w:val="00E77C01"/>
    <w:rsid w:val="00E806D6"/>
    <w:rsid w:val="00E8191C"/>
    <w:rsid w:val="00E83447"/>
    <w:rsid w:val="00E83472"/>
    <w:rsid w:val="00E83B4A"/>
    <w:rsid w:val="00E84F7A"/>
    <w:rsid w:val="00E863B3"/>
    <w:rsid w:val="00E94358"/>
    <w:rsid w:val="00E95675"/>
    <w:rsid w:val="00E9576F"/>
    <w:rsid w:val="00E95F34"/>
    <w:rsid w:val="00E9767A"/>
    <w:rsid w:val="00EA03B9"/>
    <w:rsid w:val="00EA2139"/>
    <w:rsid w:val="00EA2250"/>
    <w:rsid w:val="00EA2B3A"/>
    <w:rsid w:val="00EA2C4C"/>
    <w:rsid w:val="00EA2D31"/>
    <w:rsid w:val="00EA5396"/>
    <w:rsid w:val="00EA64F6"/>
    <w:rsid w:val="00EA6745"/>
    <w:rsid w:val="00EA6E3D"/>
    <w:rsid w:val="00EA715D"/>
    <w:rsid w:val="00EA7AC0"/>
    <w:rsid w:val="00EB0021"/>
    <w:rsid w:val="00EB03D1"/>
    <w:rsid w:val="00EB0ABF"/>
    <w:rsid w:val="00EB1C14"/>
    <w:rsid w:val="00EB32E6"/>
    <w:rsid w:val="00EB49EE"/>
    <w:rsid w:val="00EB5DE4"/>
    <w:rsid w:val="00EB6DD3"/>
    <w:rsid w:val="00EB72FA"/>
    <w:rsid w:val="00EC32DE"/>
    <w:rsid w:val="00EC3F85"/>
    <w:rsid w:val="00EC51DD"/>
    <w:rsid w:val="00EC55BC"/>
    <w:rsid w:val="00EC63E5"/>
    <w:rsid w:val="00EC64B0"/>
    <w:rsid w:val="00EC70A0"/>
    <w:rsid w:val="00ED1298"/>
    <w:rsid w:val="00ED2A46"/>
    <w:rsid w:val="00ED41AE"/>
    <w:rsid w:val="00ED4EEB"/>
    <w:rsid w:val="00ED74CC"/>
    <w:rsid w:val="00ED7EF5"/>
    <w:rsid w:val="00EE035B"/>
    <w:rsid w:val="00EE06C6"/>
    <w:rsid w:val="00EE0C0B"/>
    <w:rsid w:val="00EE1378"/>
    <w:rsid w:val="00EE15E6"/>
    <w:rsid w:val="00EE2E1B"/>
    <w:rsid w:val="00EE371B"/>
    <w:rsid w:val="00EE5D29"/>
    <w:rsid w:val="00EE6AFC"/>
    <w:rsid w:val="00EF109A"/>
    <w:rsid w:val="00EF29F4"/>
    <w:rsid w:val="00EF33C6"/>
    <w:rsid w:val="00EF405F"/>
    <w:rsid w:val="00EF536C"/>
    <w:rsid w:val="00EF5A2B"/>
    <w:rsid w:val="00EF5DB9"/>
    <w:rsid w:val="00EF6B4F"/>
    <w:rsid w:val="00EF6BA4"/>
    <w:rsid w:val="00EF75D6"/>
    <w:rsid w:val="00F00302"/>
    <w:rsid w:val="00F017E3"/>
    <w:rsid w:val="00F01CF7"/>
    <w:rsid w:val="00F02A36"/>
    <w:rsid w:val="00F05578"/>
    <w:rsid w:val="00F06275"/>
    <w:rsid w:val="00F0713D"/>
    <w:rsid w:val="00F102B1"/>
    <w:rsid w:val="00F103D4"/>
    <w:rsid w:val="00F108D8"/>
    <w:rsid w:val="00F12CD6"/>
    <w:rsid w:val="00F133D8"/>
    <w:rsid w:val="00F14F5B"/>
    <w:rsid w:val="00F15867"/>
    <w:rsid w:val="00F15E85"/>
    <w:rsid w:val="00F169A4"/>
    <w:rsid w:val="00F16EF7"/>
    <w:rsid w:val="00F17A32"/>
    <w:rsid w:val="00F223A5"/>
    <w:rsid w:val="00F23727"/>
    <w:rsid w:val="00F238E0"/>
    <w:rsid w:val="00F24447"/>
    <w:rsid w:val="00F27344"/>
    <w:rsid w:val="00F274D2"/>
    <w:rsid w:val="00F30D19"/>
    <w:rsid w:val="00F32070"/>
    <w:rsid w:val="00F329AF"/>
    <w:rsid w:val="00F32BB9"/>
    <w:rsid w:val="00F33769"/>
    <w:rsid w:val="00F34FF8"/>
    <w:rsid w:val="00F359CD"/>
    <w:rsid w:val="00F366A7"/>
    <w:rsid w:val="00F36CB2"/>
    <w:rsid w:val="00F37192"/>
    <w:rsid w:val="00F40721"/>
    <w:rsid w:val="00F41179"/>
    <w:rsid w:val="00F4220E"/>
    <w:rsid w:val="00F4293E"/>
    <w:rsid w:val="00F429C9"/>
    <w:rsid w:val="00F43F59"/>
    <w:rsid w:val="00F44995"/>
    <w:rsid w:val="00F46403"/>
    <w:rsid w:val="00F465CB"/>
    <w:rsid w:val="00F466FE"/>
    <w:rsid w:val="00F46BFC"/>
    <w:rsid w:val="00F500E3"/>
    <w:rsid w:val="00F52007"/>
    <w:rsid w:val="00F52954"/>
    <w:rsid w:val="00F53570"/>
    <w:rsid w:val="00F53769"/>
    <w:rsid w:val="00F54DD1"/>
    <w:rsid w:val="00F57213"/>
    <w:rsid w:val="00F629BF"/>
    <w:rsid w:val="00F634A9"/>
    <w:rsid w:val="00F63C86"/>
    <w:rsid w:val="00F6424C"/>
    <w:rsid w:val="00F66145"/>
    <w:rsid w:val="00F66919"/>
    <w:rsid w:val="00F670EB"/>
    <w:rsid w:val="00F70CB5"/>
    <w:rsid w:val="00F717F7"/>
    <w:rsid w:val="00F744AC"/>
    <w:rsid w:val="00F74CB2"/>
    <w:rsid w:val="00F7674B"/>
    <w:rsid w:val="00F804EA"/>
    <w:rsid w:val="00F80BE3"/>
    <w:rsid w:val="00F81DF7"/>
    <w:rsid w:val="00F829A7"/>
    <w:rsid w:val="00F834C0"/>
    <w:rsid w:val="00F83E65"/>
    <w:rsid w:val="00F8410E"/>
    <w:rsid w:val="00F84948"/>
    <w:rsid w:val="00F855C0"/>
    <w:rsid w:val="00F86BC7"/>
    <w:rsid w:val="00F873A2"/>
    <w:rsid w:val="00F87AA9"/>
    <w:rsid w:val="00F87EFE"/>
    <w:rsid w:val="00F900CB"/>
    <w:rsid w:val="00F90405"/>
    <w:rsid w:val="00F9143D"/>
    <w:rsid w:val="00F925FA"/>
    <w:rsid w:val="00F9385A"/>
    <w:rsid w:val="00F93D13"/>
    <w:rsid w:val="00F955D8"/>
    <w:rsid w:val="00F962B9"/>
    <w:rsid w:val="00F967CD"/>
    <w:rsid w:val="00F9796F"/>
    <w:rsid w:val="00FA06E8"/>
    <w:rsid w:val="00FA27EF"/>
    <w:rsid w:val="00FA2CF4"/>
    <w:rsid w:val="00FA3E20"/>
    <w:rsid w:val="00FA3EE4"/>
    <w:rsid w:val="00FA5DEF"/>
    <w:rsid w:val="00FA6289"/>
    <w:rsid w:val="00FA6CAE"/>
    <w:rsid w:val="00FA75B9"/>
    <w:rsid w:val="00FA7CD4"/>
    <w:rsid w:val="00FB1902"/>
    <w:rsid w:val="00FB2344"/>
    <w:rsid w:val="00FB307E"/>
    <w:rsid w:val="00FB3DA4"/>
    <w:rsid w:val="00FB4077"/>
    <w:rsid w:val="00FB40A1"/>
    <w:rsid w:val="00FB5389"/>
    <w:rsid w:val="00FB660D"/>
    <w:rsid w:val="00FB7836"/>
    <w:rsid w:val="00FB7840"/>
    <w:rsid w:val="00FB7A32"/>
    <w:rsid w:val="00FC4BF8"/>
    <w:rsid w:val="00FC6993"/>
    <w:rsid w:val="00FD2F4D"/>
    <w:rsid w:val="00FD3E62"/>
    <w:rsid w:val="00FD47C0"/>
    <w:rsid w:val="00FD4A3E"/>
    <w:rsid w:val="00FD7614"/>
    <w:rsid w:val="00FE09EB"/>
    <w:rsid w:val="00FE3701"/>
    <w:rsid w:val="00FE3E44"/>
    <w:rsid w:val="00FE4883"/>
    <w:rsid w:val="00FE6499"/>
    <w:rsid w:val="00FE7265"/>
    <w:rsid w:val="00FE72F4"/>
    <w:rsid w:val="00FE7DB1"/>
    <w:rsid w:val="00FF360E"/>
    <w:rsid w:val="00FF383D"/>
    <w:rsid w:val="00FF6055"/>
    <w:rsid w:val="00FF63DA"/>
    <w:rsid w:val="00FF688E"/>
    <w:rsid w:val="00FF6C04"/>
    <w:rsid w:val="00FF7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47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uiPriority w:val="9"/>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CommentReference">
    <w:name w:val="annotation reference"/>
    <w:basedOn w:val="DefaultParagraphFont"/>
    <w:uiPriority w:val="99"/>
    <w:semiHidden/>
    <w:unhideWhenUsed/>
    <w:rsid w:val="00115ED3"/>
    <w:rPr>
      <w:sz w:val="16"/>
      <w:szCs w:val="16"/>
    </w:rPr>
  </w:style>
  <w:style w:type="paragraph" w:styleId="CommentText">
    <w:name w:val="annotation text"/>
    <w:basedOn w:val="Normal"/>
    <w:link w:val="CommentTextChar"/>
    <w:uiPriority w:val="99"/>
    <w:unhideWhenUsed/>
    <w:rsid w:val="00115ED3"/>
    <w:rPr>
      <w:sz w:val="20"/>
      <w:szCs w:val="20"/>
    </w:rPr>
  </w:style>
  <w:style w:type="character" w:customStyle="1" w:styleId="CommentTextChar">
    <w:name w:val="Comment Text Char"/>
    <w:basedOn w:val="DefaultParagraphFont"/>
    <w:link w:val="CommentText"/>
    <w:uiPriority w:val="99"/>
    <w:rsid w:val="00115ED3"/>
    <w:rPr>
      <w:sz w:val="20"/>
      <w:szCs w:val="20"/>
    </w:rPr>
  </w:style>
  <w:style w:type="paragraph" w:styleId="CommentSubject">
    <w:name w:val="annotation subject"/>
    <w:basedOn w:val="CommentText"/>
    <w:next w:val="CommentText"/>
    <w:link w:val="CommentSubjectChar"/>
    <w:uiPriority w:val="99"/>
    <w:semiHidden/>
    <w:unhideWhenUsed/>
    <w:rsid w:val="00115ED3"/>
    <w:rPr>
      <w:b/>
      <w:bCs/>
    </w:rPr>
  </w:style>
  <w:style w:type="character" w:customStyle="1" w:styleId="CommentSubjectChar">
    <w:name w:val="Comment Subject Char"/>
    <w:basedOn w:val="CommentTextChar"/>
    <w:link w:val="CommentSubject"/>
    <w:uiPriority w:val="99"/>
    <w:semiHidden/>
    <w:rsid w:val="00115ED3"/>
    <w:rPr>
      <w:b/>
      <w:bCs/>
      <w:sz w:val="20"/>
      <w:szCs w:val="20"/>
    </w:rPr>
  </w:style>
  <w:style w:type="paragraph" w:styleId="FootnoteText">
    <w:name w:val="footnote text"/>
    <w:basedOn w:val="Normal"/>
    <w:link w:val="FootnoteTextChar"/>
    <w:uiPriority w:val="99"/>
    <w:semiHidden/>
    <w:unhideWhenUsed/>
    <w:rsid w:val="00964282"/>
    <w:rPr>
      <w:sz w:val="20"/>
      <w:szCs w:val="20"/>
    </w:rPr>
  </w:style>
  <w:style w:type="character" w:customStyle="1" w:styleId="FootnoteTextChar">
    <w:name w:val="Footnote Text Char"/>
    <w:basedOn w:val="DefaultParagraphFont"/>
    <w:link w:val="FootnoteText"/>
    <w:uiPriority w:val="99"/>
    <w:semiHidden/>
    <w:rsid w:val="00964282"/>
    <w:rPr>
      <w:sz w:val="20"/>
      <w:szCs w:val="20"/>
    </w:rPr>
  </w:style>
  <w:style w:type="character" w:styleId="FootnoteReference">
    <w:name w:val="footnote reference"/>
    <w:basedOn w:val="DefaultParagraphFont"/>
    <w:uiPriority w:val="99"/>
    <w:semiHidden/>
    <w:unhideWhenUsed/>
    <w:rsid w:val="00964282"/>
    <w:rPr>
      <w:vertAlign w:val="superscript"/>
    </w:rPr>
  </w:style>
  <w:style w:type="character" w:styleId="Hyperlink">
    <w:name w:val="Hyperlink"/>
    <w:basedOn w:val="DefaultParagraphFont"/>
    <w:uiPriority w:val="99"/>
    <w:unhideWhenUsed/>
    <w:rsid w:val="00763D51"/>
    <w:rPr>
      <w:color w:val="0000FF" w:themeColor="hyperlink"/>
      <w:u w:val="single"/>
    </w:rPr>
  </w:style>
  <w:style w:type="character" w:styleId="UnresolvedMention">
    <w:name w:val="Unresolved Mention"/>
    <w:basedOn w:val="DefaultParagraphFont"/>
    <w:uiPriority w:val="99"/>
    <w:semiHidden/>
    <w:unhideWhenUsed/>
    <w:rsid w:val="00763D51"/>
    <w:rPr>
      <w:color w:val="605E5C"/>
      <w:shd w:val="clear" w:color="auto" w:fill="E1DFDD"/>
    </w:rPr>
  </w:style>
  <w:style w:type="paragraph" w:styleId="Revision">
    <w:name w:val="Revision"/>
    <w:hidden/>
    <w:uiPriority w:val="99"/>
    <w:semiHidden/>
    <w:rsid w:val="00F84948"/>
  </w:style>
  <w:style w:type="paragraph" w:styleId="Header">
    <w:name w:val="header"/>
    <w:basedOn w:val="Normal"/>
    <w:link w:val="HeaderChar"/>
    <w:uiPriority w:val="99"/>
    <w:unhideWhenUsed/>
    <w:rsid w:val="007F2F3F"/>
    <w:pPr>
      <w:tabs>
        <w:tab w:val="center" w:pos="4513"/>
        <w:tab w:val="right" w:pos="9026"/>
      </w:tabs>
    </w:pPr>
  </w:style>
  <w:style w:type="character" w:customStyle="1" w:styleId="HeaderChar">
    <w:name w:val="Header Char"/>
    <w:basedOn w:val="DefaultParagraphFont"/>
    <w:link w:val="Header"/>
    <w:uiPriority w:val="99"/>
    <w:rsid w:val="007F2F3F"/>
  </w:style>
  <w:style w:type="paragraph" w:styleId="Footer">
    <w:name w:val="footer"/>
    <w:basedOn w:val="Normal"/>
    <w:link w:val="FooterChar"/>
    <w:uiPriority w:val="99"/>
    <w:unhideWhenUsed/>
    <w:rsid w:val="007F2F3F"/>
    <w:pPr>
      <w:tabs>
        <w:tab w:val="center" w:pos="4513"/>
        <w:tab w:val="right" w:pos="9026"/>
      </w:tabs>
    </w:pPr>
  </w:style>
  <w:style w:type="character" w:customStyle="1" w:styleId="FooterChar">
    <w:name w:val="Footer Char"/>
    <w:basedOn w:val="DefaultParagraphFont"/>
    <w:link w:val="Footer"/>
    <w:uiPriority w:val="99"/>
    <w:rsid w:val="007F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3485">
      <w:bodyDiv w:val="1"/>
      <w:marLeft w:val="0"/>
      <w:marRight w:val="0"/>
      <w:marTop w:val="0"/>
      <w:marBottom w:val="0"/>
      <w:divBdr>
        <w:top w:val="none" w:sz="0" w:space="0" w:color="auto"/>
        <w:left w:val="none" w:sz="0" w:space="0" w:color="auto"/>
        <w:bottom w:val="none" w:sz="0" w:space="0" w:color="auto"/>
        <w:right w:val="none" w:sz="0" w:space="0" w:color="auto"/>
      </w:divBdr>
    </w:div>
    <w:div w:id="1153134580">
      <w:bodyDiv w:val="1"/>
      <w:marLeft w:val="0"/>
      <w:marRight w:val="0"/>
      <w:marTop w:val="0"/>
      <w:marBottom w:val="0"/>
      <w:divBdr>
        <w:top w:val="none" w:sz="0" w:space="0" w:color="auto"/>
        <w:left w:val="none" w:sz="0" w:space="0" w:color="auto"/>
        <w:bottom w:val="none" w:sz="0" w:space="0" w:color="auto"/>
        <w:right w:val="none" w:sz="0" w:space="0" w:color="auto"/>
      </w:divBdr>
    </w:div>
    <w:div w:id="1672830007">
      <w:bodyDiv w:val="1"/>
      <w:marLeft w:val="0"/>
      <w:marRight w:val="0"/>
      <w:marTop w:val="0"/>
      <w:marBottom w:val="0"/>
      <w:divBdr>
        <w:top w:val="none" w:sz="0" w:space="0" w:color="auto"/>
        <w:left w:val="none" w:sz="0" w:space="0" w:color="auto"/>
        <w:bottom w:val="none" w:sz="0" w:space="0" w:color="auto"/>
        <w:right w:val="none" w:sz="0" w:space="0" w:color="auto"/>
      </w:divBdr>
    </w:div>
    <w:div w:id="1810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2EAA-04B1-43F0-BCBF-4A2207BA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8104</Words>
  <Characters>46195</Characters>
  <Application>Microsoft Office Word</Application>
  <DocSecurity>0</DocSecurity>
  <Lines>384</Lines>
  <Paragraphs>108</Paragraphs>
  <ScaleCrop>false</ScaleCrop>
  <Company/>
  <LinksUpToDate>false</LinksUpToDate>
  <CharactersWithSpaces>54191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2025-12-21T23:44:00Z</dcterms:created>
  <dcterms:modified xsi:type="dcterms:W3CDTF">2025-12-21T23:44:00Z</dcterms:modified>
</cp:coreProperties>
</file>